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292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罪犯黄小燕，女，</w:t>
      </w:r>
      <w:r>
        <w:rPr>
          <w:rFonts w:eastAsia="仿宋_GB2312" w:ascii="仿宋_GB2312" w:hAnsi="仿宋_GB2312"/>
          <w:sz w:val="32"/>
          <w:szCs w:val="32"/>
        </w:rPr>
        <w:t>1986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日生，汉族，初中文化贵州省遵义市人，现在贵州省第二女子监狱服刑。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日，贵州省德江县人民法院作出（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0626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92</w:t>
      </w:r>
      <w:r>
        <w:rPr>
          <w:rFonts w:ascii="仿宋_GB2312" w:hAnsi="仿宋_GB2312" w:eastAsia="仿宋_GB2312"/>
          <w:sz w:val="32"/>
          <w:szCs w:val="32"/>
        </w:rPr>
        <w:t>号刑事判决，认定黄小燕犯盗窃罪，判处有期徒刑十年二个月（刑期自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日止），剥夺政治权利三年，罚金人民币</w:t>
      </w:r>
      <w:r>
        <w:rPr>
          <w:rFonts w:eastAsia="仿宋_GB2312" w:ascii="仿宋_GB2312" w:hAnsi="仿宋_GB2312"/>
          <w:sz w:val="32"/>
          <w:szCs w:val="32"/>
        </w:rPr>
        <w:t>23000.00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一、认罪悔罪方面：罪犯黄小燕在服刑期间，能服从法院判决，认罪悔罪。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二、遵守法律法规及监规方面：罪犯黄小燕在服刑期间，基本遵守法律法规及监规纪律，服从管教。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23000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扣分及违规情况：该犯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日被督查通报制作菜品时未规范佩戴口罩。扣分</w:t>
      </w:r>
      <w:r>
        <w:rPr>
          <w:rFonts w:eastAsia="仿宋_GB2312" w:ascii="仿宋_GB2312" w:hAnsi="仿宋_GB2312"/>
          <w:sz w:val="32"/>
          <w:szCs w:val="32"/>
        </w:rPr>
        <w:t>2.00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经审查，我院认为：该犯以非法占有为目的，事前通谋并伙同他人驾车流窜窃取他人 财物，数额较大，系主犯，其在暂予监外执行期限届满后脱逃， 逃避法律处罚，主观恶性较深，建议对其提请减刑七个月。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综上所述，罪犯黄小燕自上次裁定减刑以来，能认真遵守监规，接受教育改造，确有悔改表现。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小燕提请减去有期徒刑七个月，剥夺政治权利三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