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294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罪犯何学美，女，</w:t>
      </w:r>
      <w:r>
        <w:rPr>
          <w:rFonts w:eastAsia="仿宋_GB2312" w:ascii="仿宋_GB2312" w:hAnsi="仿宋_GB2312"/>
          <w:sz w:val="32"/>
          <w:szCs w:val="32"/>
        </w:rPr>
        <w:t>1969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日生，汉族，小学文化贵州省遵义市遵义县人，现在贵州省第二女子监狱服刑。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日，贵州省遵义市中级人民法院作出（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85</w:t>
      </w:r>
      <w:r>
        <w:rPr>
          <w:rFonts w:ascii="仿宋_GB2312" w:hAnsi="仿宋_GB2312" w:eastAsia="仿宋_GB2312"/>
          <w:sz w:val="32"/>
          <w:szCs w:val="32"/>
        </w:rPr>
        <w:t>号刑事判决，认定何学美犯故意杀人罪，判处有期徒刑十五年（刑期自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日止），剥夺政治权利五年。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日交付执行，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日经贵州省贵阳市中级人民法院裁定减去有期徒刑六个月。（现刑期自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一、认罪悔罪方面：罪犯何学美在服刑期间，能服从法院判决，认罪悔罪。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二、遵守法律法规及监规方面：罪犯何学美在服刑期间，认真遵守法律法规及监规纪律，服从管教。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经审查，我院认为：罪犯何学美符合提请减刑条件。未发现提请减刑建议不当，同意将案件交监狱长办公会审核。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综上所述，罪犯何学美自上次裁定减刑以来，能认真遵守监规，接受教育改造，确有悔改表现。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何学美提请减去有期徒刑八个月，剥夺政治权利五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