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302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罪犯杨年妹，女，</w:t>
      </w:r>
      <w:r>
        <w:rPr>
          <w:rFonts w:eastAsia="仿宋_GB2312" w:ascii="仿宋_GB2312" w:hAnsi="仿宋_GB2312"/>
          <w:sz w:val="32"/>
          <w:szCs w:val="32"/>
        </w:rPr>
        <w:t>1973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日生，苗族，文盲贵州省紫云苗族布依族自治县人，现在贵州省第二女子监狱服刑。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日，贵州省紫云苗族布依族自治县人民法院作出（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0425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117</w:t>
      </w:r>
      <w:r>
        <w:rPr>
          <w:rFonts w:ascii="仿宋_GB2312" w:hAnsi="仿宋_GB2312" w:eastAsia="仿宋_GB2312"/>
          <w:sz w:val="32"/>
          <w:szCs w:val="32"/>
        </w:rPr>
        <w:t>号刑事判决，认定杨年妹犯故意伤害罪，判处有期徒刑四年六个月（刑期自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日止）。该犯不服，提出上诉。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日，贵州省安顺市中级人民法院作出（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76</w:t>
      </w:r>
      <w:r>
        <w:rPr>
          <w:rFonts w:ascii="仿宋_GB2312" w:hAnsi="仿宋_GB2312" w:eastAsia="仿宋_GB2312"/>
          <w:sz w:val="32"/>
          <w:szCs w:val="32"/>
        </w:rPr>
        <w:t>号刑事裁定，允许撤回上诉。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一、认罪悔罪方面：罪犯杨年妹在服刑期间，能服从法院判决，认罪悔罪。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二、遵守法律法规及监规方面：罪犯杨年妹在服刑期间，基本遵守法律法规及监规纪律，服从管教。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月该犯未完成劳动定额，累计扣分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次，共计</w:t>
      </w:r>
      <w:r>
        <w:rPr>
          <w:rFonts w:eastAsia="仿宋_GB2312" w:ascii="仿宋_GB2312" w:hAnsi="仿宋_GB2312"/>
          <w:sz w:val="32"/>
          <w:szCs w:val="32"/>
        </w:rPr>
        <w:t>325.07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经审查，我院认为：罪犯杨年妹符合提请减刑条件。未发现提请减刑建议不当，同意将案件交监狱长办公会审核。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综上所述，罪犯杨年妹在服刑改造期间，能认真遵守监规，接受教育改造，确有悔改表现。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年妹提请减去有期徒刑三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