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305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罪犯王安羚，女，</w:t>
      </w:r>
      <w:r>
        <w:rPr>
          <w:rFonts w:eastAsia="仿宋_GB2312" w:ascii="仿宋_GB2312" w:hAnsi="仿宋_GB2312"/>
          <w:sz w:val="32"/>
          <w:szCs w:val="32"/>
        </w:rPr>
        <w:t>1995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16</w:t>
      </w:r>
      <w:r>
        <w:rPr>
          <w:rFonts w:ascii="仿宋_GB2312" w:hAnsi="仿宋_GB2312" w:eastAsia="仿宋_GB2312"/>
          <w:sz w:val="32"/>
          <w:szCs w:val="32"/>
        </w:rPr>
        <w:t>日生，汉族，中专文化贵州省贵阳市乌当区人，现在贵州省第二女子监狱服刑。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14</w:t>
      </w:r>
      <w:r>
        <w:rPr>
          <w:rFonts w:ascii="仿宋_GB2312" w:hAnsi="仿宋_GB2312" w:eastAsia="仿宋_GB2312"/>
          <w:sz w:val="32"/>
          <w:szCs w:val="32"/>
        </w:rPr>
        <w:t>日，贵州省贵阳市云岩区人民法院作出（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0103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450</w:t>
      </w:r>
      <w:r>
        <w:rPr>
          <w:rFonts w:ascii="仿宋_GB2312" w:hAnsi="仿宋_GB2312" w:eastAsia="仿宋_GB2312"/>
          <w:sz w:val="32"/>
          <w:szCs w:val="32"/>
        </w:rPr>
        <w:t>号刑事判决，认定王安羚犯诈骗罪，判处有期徒刑三年（刑期自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20000.00</w:t>
      </w:r>
      <w:r>
        <w:rPr>
          <w:rFonts w:ascii="仿宋_GB2312" w:hAnsi="仿宋_GB2312" w:eastAsia="仿宋_GB2312"/>
          <w:sz w:val="32"/>
          <w:szCs w:val="32"/>
        </w:rPr>
        <w:t>元，责令退赔人民币</w:t>
      </w:r>
      <w:r>
        <w:rPr>
          <w:rFonts w:eastAsia="仿宋_GB2312" w:ascii="仿宋_GB2312" w:hAnsi="仿宋_GB2312"/>
          <w:sz w:val="32"/>
          <w:szCs w:val="32"/>
        </w:rPr>
        <w:t>98743.17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23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一、认罪悔罪方面：罪犯王安羚在服刑期间，能服从法院判决，认罪悔罪。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二、遵守法律法规及监规方面：罪犯王安羚在服刑期间，基本遵守法律法规及监规纪律，服从管教。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20000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；退赃退赔人民币</w:t>
      </w:r>
      <w:r>
        <w:rPr>
          <w:rFonts w:eastAsia="仿宋_GB2312" w:ascii="仿宋_GB2312" w:hAnsi="仿宋_GB2312"/>
          <w:sz w:val="32"/>
          <w:szCs w:val="32"/>
        </w:rPr>
        <w:t>98743.17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部分履行并且执行）。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日该犯未完成劳动定额扣</w:t>
      </w:r>
      <w:r>
        <w:rPr>
          <w:rFonts w:eastAsia="仿宋_GB2312" w:ascii="仿宋_GB2312" w:hAnsi="仿宋_GB2312"/>
          <w:sz w:val="32"/>
          <w:szCs w:val="32"/>
        </w:rPr>
        <w:t>3.64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29</w:t>
      </w:r>
      <w:r>
        <w:rPr>
          <w:rFonts w:ascii="仿宋_GB2312" w:hAnsi="仿宋_GB2312" w:eastAsia="仿宋_GB2312"/>
          <w:sz w:val="32"/>
          <w:szCs w:val="32"/>
        </w:rPr>
        <w:t>日该犯未完成劳动定额扣</w:t>
      </w:r>
      <w:r>
        <w:rPr>
          <w:rFonts w:eastAsia="仿宋_GB2312" w:ascii="仿宋_GB2312" w:hAnsi="仿宋_GB2312"/>
          <w:sz w:val="32"/>
          <w:szCs w:val="32"/>
        </w:rPr>
        <w:t>10.79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日该犯未完成劳动定额扣</w:t>
      </w:r>
      <w:r>
        <w:rPr>
          <w:rFonts w:eastAsia="仿宋_GB2312" w:ascii="仿宋_GB2312" w:hAnsi="仿宋_GB2312"/>
          <w:sz w:val="32"/>
          <w:szCs w:val="32"/>
        </w:rPr>
        <w:t>4.66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日该犯与她犯违反监规纪律，在号室里伙吃伙喝，扣分</w:t>
      </w:r>
      <w:r>
        <w:rPr>
          <w:rFonts w:eastAsia="仿宋_GB2312" w:ascii="仿宋_GB2312" w:hAnsi="仿宋_GB2312"/>
          <w:sz w:val="32"/>
          <w:szCs w:val="32"/>
        </w:rPr>
        <w:t>5.00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从严情形：月均消费超过但未明显超过全省罪犯上一年度月均消费额度。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经审查，我院认为：罪犯王安羚符合提请减刑条件。未发现提请减刑建议不当，同意将案件交监狱长办公会审核。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综上所述，罪犯王安羚在服刑改造期间，能认真遵守监规，接受教育改造，确有悔改表现。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王安羚提请减去有期徒刑二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