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罪犯王昌菊，女，</w:t>
      </w:r>
      <w:r>
        <w:rPr>
          <w:rFonts w:eastAsia="仿宋_GB2312" w:ascii="仿宋_GB2312" w:hAnsi="仿宋_GB2312"/>
          <w:sz w:val="32"/>
          <w:szCs w:val="32"/>
        </w:rPr>
        <w:t>1968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日生，汉族，文盲云南省镇雄县人，现在贵州省第二女子监狱服刑。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日，贵州省毕节市七星关区人民法院作出（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288</w:t>
      </w:r>
      <w:r>
        <w:rPr>
          <w:rFonts w:ascii="仿宋_GB2312" w:hAnsi="仿宋_GB2312" w:eastAsia="仿宋_GB2312"/>
          <w:sz w:val="32"/>
          <w:szCs w:val="32"/>
        </w:rPr>
        <w:t>号刑事判决，认定王昌菊犯拐卖妇女罪，判处有期徒刑五年（刑期自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5000.00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9200.00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一、认罪悔罪方面：罪犯王昌菊在服刑期间，能服从法院判决，认罪悔罪。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二、遵守法律法规及监规方面：罪犯王昌菊在服刑期间，基本遵守法律法规及监规纪律，服从管教。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全部履行）；追缴违法所得人民币</w:t>
      </w:r>
      <w:r>
        <w:rPr>
          <w:rFonts w:eastAsia="仿宋_GB2312" w:ascii="仿宋_GB2312" w:hAnsi="仿宋_GB2312"/>
          <w:sz w:val="32"/>
          <w:szCs w:val="32"/>
        </w:rPr>
        <w:t>9200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16.02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14.49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经审查，我院认为：罪犯王昌菊符合提请减刑条件。未发现提请减刑建议不当，同意将案件交监狱长办公会审核。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综上所述，罪犯王昌菊在服刑改造期间，能认真遵守监规，接受教育改造，确有悔改表现。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昌菊提请减去有期徒刑三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