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326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罪犯肖蓉，女，</w:t>
      </w:r>
      <w:r>
        <w:rPr>
          <w:rFonts w:eastAsia="仿宋_GB2312" w:ascii="仿宋_GB2312" w:hAnsi="仿宋_GB2312"/>
          <w:sz w:val="32"/>
          <w:szCs w:val="32"/>
        </w:rPr>
        <w:t>1962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日生，汉族，本科文化贵州省桐梓县人，原系国家税务总局遵义市红花岗区原地方税务局，现在贵州省第二女子监狱服刑。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467</w:t>
      </w:r>
      <w:r>
        <w:rPr>
          <w:rFonts w:ascii="仿宋_GB2312" w:hAnsi="仿宋_GB2312" w:eastAsia="仿宋_GB2312"/>
          <w:sz w:val="32"/>
          <w:szCs w:val="32"/>
        </w:rPr>
        <w:t>号刑事判决，认定肖蓉犯利用影响力受贿罪，判处有期徒刑三年六个月（刑期自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元，扣押在案的赃款人民币</w:t>
      </w:r>
      <w:r>
        <w:rPr>
          <w:rFonts w:eastAsia="仿宋_GB2312" w:ascii="仿宋_GB2312" w:hAnsi="仿宋_GB2312"/>
          <w:sz w:val="32"/>
          <w:szCs w:val="32"/>
        </w:rPr>
        <w:t>1600000</w:t>
      </w:r>
      <w:r>
        <w:rPr>
          <w:rFonts w:ascii="仿宋_GB2312" w:hAnsi="仿宋_GB2312" w:eastAsia="仿宋_GB2312"/>
          <w:sz w:val="32"/>
          <w:szCs w:val="32"/>
        </w:rPr>
        <w:t>元，予以没收由扣押机关上交国库。该犯不服，提出上诉。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227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一、认罪悔罪方面：罪犯肖蓉在服刑期间，能服从法院判决，认罪悔罪。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二、遵守法律法规及监规方面：罪犯肖蓉在服刑期间，认真遵守法律法规及监规纪律，服从管教。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；扣押在案的赃款人民币</w:t>
      </w:r>
      <w:r>
        <w:rPr>
          <w:rFonts w:eastAsia="仿宋_GB2312" w:ascii="仿宋_GB2312" w:hAnsi="仿宋_GB2312"/>
          <w:sz w:val="32"/>
          <w:szCs w:val="32"/>
        </w:rPr>
        <w:t>1600000</w:t>
      </w:r>
      <w:r>
        <w:rPr>
          <w:rFonts w:ascii="仿宋_GB2312" w:hAnsi="仿宋_GB2312" w:eastAsia="仿宋_GB2312"/>
          <w:sz w:val="32"/>
          <w:szCs w:val="32"/>
        </w:rPr>
        <w:t>元，予以没收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已全部缴纳，判决书载明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从严情形：职务犯罪罪犯。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经审查，我院认为，罪犯肖蓉符合提请减刑条件。未发现提请减刑建议不当，同意将案件交监狱长办公会审核。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综上所述，罪犯肖蓉在服刑改造期间，能认真遵守监规，接受教育改造，确有悔改表现。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肖蓉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