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罪犯孙时萍，女，</w:t>
      </w:r>
      <w:r>
        <w:rPr>
          <w:rFonts w:eastAsia="仿宋_GB2312" w:ascii="仿宋_GB2312" w:hAnsi="仿宋_GB2312"/>
          <w:sz w:val="32"/>
          <w:szCs w:val="32"/>
        </w:rPr>
        <w:t>1966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日生，汉族，小学文化贵州省六盘水市人，现在贵州省第二女子监狱服刑。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日，贵州省威宁彝族回族苗族自治县人民法院作出</w:t>
      </w:r>
      <w:r>
        <w:rPr>
          <w:rFonts w:eastAsia="仿宋_GB2312" w:ascii="仿宋_GB2312" w:hAnsi="仿宋_GB2312"/>
          <w:sz w:val="32"/>
          <w:szCs w:val="32"/>
        </w:rPr>
        <w:t xml:space="preserve">(2014) </w:t>
      </w:r>
      <w:r>
        <w:rPr>
          <w:rFonts w:ascii="仿宋_GB2312" w:hAnsi="仿宋_GB2312" w:eastAsia="仿宋_GB2312"/>
          <w:sz w:val="32"/>
          <w:szCs w:val="32"/>
        </w:rPr>
        <w:t>黔威刑初字第</w:t>
      </w:r>
      <w:r>
        <w:rPr>
          <w:rFonts w:eastAsia="仿宋_GB2312" w:ascii="仿宋_GB2312" w:hAnsi="仿宋_GB2312"/>
          <w:sz w:val="32"/>
          <w:szCs w:val="32"/>
        </w:rPr>
        <w:t>231</w:t>
      </w:r>
      <w:r>
        <w:rPr>
          <w:rFonts w:ascii="仿宋_GB2312" w:hAnsi="仿宋_GB2312" w:eastAsia="仿宋_GB2312"/>
          <w:sz w:val="32"/>
          <w:szCs w:val="32"/>
        </w:rPr>
        <w:t>号刑事判决，认定孙时萍犯运输毒品罪，判处有期徒刑十五年（刑期自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日止），剥夺政治权利三年，没收个人财产人民币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日经贵州省贵阳市中级人民法院裁定减去有期徒刑四个月，剥夺政治权利三年；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一、认罪悔罪方面：罪犯孙时萍在服刑期间，能服从法院判决，认罪悔罪。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二、遵守法律法规及监规方面：罪犯孙时萍在服刑期间，认真遵守法律法规及监规纪律，服从管教。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从严情形：毒品再犯；月均消费超过但未明显超过全省罪犯月均消费标准。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经审查，我院认为，罪犯孙时萍符合提请减刑条件。未发现提请减刑建议不当，同意将案件交监狱长办公会审核。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综上所述，罪犯孙时萍自上次裁定减刑以来，能认真遵守监规，接受教育改造，确有悔改表现。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孙时萍提请减去有期徒刑七个月，剥夺政治权利三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