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罪犯顾娜，女，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日生，汉族，初中文化贵州省毕节市人，现在贵州省第二女子监狱服刑。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562</w:t>
      </w:r>
      <w:r>
        <w:rPr>
          <w:rFonts w:ascii="仿宋_GB2312" w:hAnsi="仿宋_GB2312" w:eastAsia="仿宋_GB2312"/>
          <w:sz w:val="32"/>
          <w:szCs w:val="32"/>
        </w:rPr>
        <w:t>号刑事判决，认定顾娜犯虐待罪，判处有期徒刑三年三个月（刑期自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一、认罪悔罪方面：罪犯顾娜在服刑期间，能服从法院判决，认罪悔罪。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二、遵守法律法规及监规方面：罪犯顾娜在服刑期间，基本遵守法律法规及监规纪律，服从管教。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月因未完成劳动定额分别扣分</w:t>
      </w:r>
      <w:r>
        <w:rPr>
          <w:rFonts w:eastAsia="仿宋_GB2312" w:ascii="仿宋_GB2312" w:hAnsi="仿宋_GB2312"/>
          <w:sz w:val="32"/>
          <w:szCs w:val="32"/>
        </w:rPr>
        <w:t>2.84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12.08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5.78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8.28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11.72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6.70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1.62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经审查，我院认为，罪犯顾娜符合提请减刑条件。未发现提请减刑建议不当，同意将案件交监狱长办公会审核。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综上所述，罪犯顾娜在服刑改造期间，能认真遵守监规，接受教育改造，确有悔改表现。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顾娜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