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罪犯张启艳，女，</w:t>
      </w:r>
      <w:r>
        <w:rPr>
          <w:rFonts w:eastAsia="仿宋_GB2312" w:ascii="仿宋_GB2312" w:hAnsi="仿宋_GB2312"/>
          <w:sz w:val="32"/>
          <w:szCs w:val="32"/>
        </w:rPr>
        <w:t>1963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日生，汉族，初中文化贵州省威宁彝族回族苗族自治县人，现在贵州省第二女子监狱服刑。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日，贵州省威宁彝族回族苗族自治县人民法院作出（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）黔威刑初字第</w:t>
      </w:r>
      <w:r>
        <w:rPr>
          <w:rFonts w:eastAsia="仿宋_GB2312" w:ascii="仿宋_GB2312" w:hAnsi="仿宋_GB2312"/>
          <w:sz w:val="32"/>
          <w:szCs w:val="32"/>
        </w:rPr>
        <w:t>170</w:t>
      </w:r>
      <w:r>
        <w:rPr>
          <w:rFonts w:ascii="仿宋_GB2312" w:hAnsi="仿宋_GB2312" w:eastAsia="仿宋_GB2312"/>
          <w:sz w:val="32"/>
          <w:szCs w:val="32"/>
        </w:rPr>
        <w:t>号刑事判决，认定张启艳犯诈骗罪，判处有期徒刑十五年（刑期自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日经贵州省贵阳市中级人民法院裁定减去有期徒刑三个月；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一、认罪悔罪方面：罪犯张启艳在服刑期间，能服从法院判决，认罪悔罪。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二、遵守法律法规及监规方面：罪犯张启艳在服刑期间，认真遵守法律法规及监规纪律，服从管教。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594.06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该犯在没有偿还能力的情况下，诈骗多人钱财，数额特别巨大，受害人数众多，社会影响和社会危害性较大，建议从严提请减刑八个月。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综上所述，罪犯张启艳自上次裁定减刑以来，能认真遵守监规，接受教育改造，确有悔改表现。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启艳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