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346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罪犯冯文秀，女，</w:t>
      </w:r>
      <w:r>
        <w:rPr>
          <w:rFonts w:eastAsia="仿宋_GB2312" w:ascii="仿宋_GB2312" w:hAnsi="仿宋_GB2312"/>
          <w:sz w:val="32"/>
          <w:szCs w:val="32"/>
        </w:rPr>
        <w:t>1970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日生，汉族，中专文化四川省成都市人，现在贵州省第二女子监狱服刑。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日，贵州省罗甸县人民法院作出</w:t>
      </w:r>
      <w:r>
        <w:rPr>
          <w:rFonts w:eastAsia="仿宋_GB2312" w:ascii="仿宋_GB2312" w:hAnsi="仿宋_GB2312"/>
          <w:sz w:val="32"/>
          <w:szCs w:val="32"/>
        </w:rPr>
        <w:t>(2019)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2728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179</w:t>
      </w:r>
      <w:r>
        <w:rPr>
          <w:rFonts w:ascii="仿宋_GB2312" w:hAnsi="仿宋_GB2312" w:eastAsia="仿宋_GB2312"/>
          <w:sz w:val="32"/>
          <w:szCs w:val="32"/>
        </w:rPr>
        <w:t>号刑事判决，认定冯文秀犯组织、领导传销活动罪，判处有期徒刑八年（刑期自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4000000.00</w:t>
      </w:r>
      <w:r>
        <w:rPr>
          <w:rFonts w:ascii="仿宋_GB2312" w:hAnsi="仿宋_GB2312" w:eastAsia="仿宋_GB2312"/>
          <w:sz w:val="32"/>
          <w:szCs w:val="32"/>
        </w:rPr>
        <w:t>元，对其余涉案传销资金继续予以追缴。该犯不服，提出上诉。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</w:t>
      </w:r>
      <w:r>
        <w:rPr>
          <w:rFonts w:eastAsia="仿宋_GB2312" w:ascii="仿宋_GB2312" w:hAnsi="仿宋_GB2312"/>
          <w:sz w:val="32"/>
          <w:szCs w:val="32"/>
        </w:rPr>
        <w:t>(2020)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一、认罪悔罪方面：罪犯冯文秀在服刑期间，能服从法院判决，认罪悔罪。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二、遵守法律法规及监规方面：罪犯冯文秀在服刑期间，基本遵守法律法规及监规纪律，服从管教。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4000000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92983.57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，对其余涉案传销资金继续予以追缴（未履行）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部分履行并且执行）。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35.44%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12.40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10.65%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3.72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44.2%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15.47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29.07%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10.17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27.27%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8.18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59.63%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17.88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36.55%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10.96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71.82%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21.54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51.09%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15.32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日监区集体教育时要求，根据生活卫生标准化管理规定，罪犯不能捆绑头发，不能在头发上别任何发饰。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日，干警在现场巡查时发现该犯不遵守规定，仍然将笔盖夹在头发上，违反了生活卫生标准化管理规定。扣分</w:t>
      </w:r>
      <w:r>
        <w:rPr>
          <w:rFonts w:eastAsia="仿宋_GB2312" w:ascii="仿宋_GB2312" w:hAnsi="仿宋_GB2312"/>
          <w:sz w:val="32"/>
          <w:szCs w:val="32"/>
        </w:rPr>
        <w:t>3.00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日，罪犯冯文秀在收工下楼梯时不听联号组成员劝阻，擅自脱离联组联号，从队列中返回五楼拿衣服，被值班干警及时发现并制止。扣分</w:t>
      </w:r>
      <w:r>
        <w:rPr>
          <w:rFonts w:eastAsia="仿宋_GB2312" w:ascii="仿宋_GB2312" w:hAnsi="仿宋_GB2312"/>
          <w:sz w:val="32"/>
          <w:szCs w:val="32"/>
        </w:rPr>
        <w:t>10.00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日，干警清监发现时，罪犯冯文秀在干警多次强调情况下仍然将蛋糕叉藏在眼镜盒内，违反生活卫生标准化管理规定。扣分</w:t>
      </w:r>
      <w:r>
        <w:rPr>
          <w:rFonts w:eastAsia="仿宋_GB2312" w:ascii="仿宋_GB2312" w:hAnsi="仿宋_GB2312"/>
          <w:sz w:val="32"/>
          <w:szCs w:val="32"/>
        </w:rPr>
        <w:t>3.00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从严情形：累犯；月均消费超过全省罪犯月均消费标准。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判决认定该犯系主犯，与他人引诱参加者继续发展他人参加，骗取财物，扰乱经济何社会管理秩序，参与传销活动人员累计在</w:t>
      </w:r>
      <w:r>
        <w:rPr>
          <w:rFonts w:eastAsia="仿宋_GB2312" w:ascii="仿宋_GB2312" w:hAnsi="仿宋_GB2312"/>
          <w:sz w:val="32"/>
          <w:u w:val="none" w:color="FFFFFF"/>
        </w:rPr>
        <w:t>120</w:t>
      </w:r>
      <w:r>
        <w:rPr>
          <w:rFonts w:ascii="仿宋_GB2312" w:hAnsi="仿宋_GB2312" w:eastAsia="仿宋_GB2312"/>
          <w:sz w:val="32"/>
          <w:u w:val="none" w:color="FFFFFF"/>
        </w:rPr>
        <w:t>人以上，传销资金数额特别巨大，属情节严重，社会危害性较大。建议从严对其提请减刑六个月。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综上所述，罪犯冯文秀在服刑改造期间，能认真遵守监规，接受教育改造，确有悔改表现。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冯文秀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