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罪犯周进，女，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日生，汉族，初中文化贵州省福泉市人，现在贵州省第二女子监狱服刑。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27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7 </w:t>
      </w:r>
      <w:r>
        <w:rPr>
          <w:rFonts w:ascii="仿宋_GB2312" w:hAnsi="仿宋_GB2312" w:eastAsia="仿宋_GB2312"/>
          <w:sz w:val="32"/>
          <w:szCs w:val="32"/>
        </w:rPr>
        <w:t>号刑事判决，认定周进犯贩卖毒品罪，判处有期徒刑十五年（刑期自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日止），没收个人财产人民币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38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一、认罪悔罪方面：罪犯周进在服刑期间，能服从法院判决，认罪悔罪。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二、遵守法律法规及监规方面：罪犯周进在服刑期间，基本遵守法律法规及监规纪律，服从管教。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日违反如厕规定扣分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日，下午</w:t>
      </w:r>
      <w:r>
        <w:rPr>
          <w:rFonts w:eastAsia="仿宋_GB2312" w:ascii="仿宋_GB2312" w:hAnsi="仿宋_GB2312"/>
          <w:sz w:val="32"/>
          <w:szCs w:val="32"/>
        </w:rPr>
        <w:t>16:20</w:t>
      </w:r>
      <w:r>
        <w:rPr>
          <w:rFonts w:ascii="仿宋_GB2312" w:hAnsi="仿宋_GB2312" w:eastAsia="仿宋_GB2312"/>
          <w:sz w:val="32"/>
          <w:szCs w:val="32"/>
        </w:rPr>
        <w:t>许，罪犯周进与她犯谈及李犯因质量问题被批评教育，李犯听到后误认为是在议论她，进而发生争执，周犯情绪激动之下踢了李犯大腿一脚，后被其他罪犯及时制止。扣分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经审查，我院认为，罪犯周进符合提请减刑条件。未发现提请减刑建议不当，同意将案件交监狱长办公会审核。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综上所述，罪犯周进在服刑改造期间，能认真遵守监规，接受教育改造，确有悔改表现。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进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