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napToGrid w:val="false"/>
        <w:spacing w:lineRule="exact" w:line="560"/>
        <w:jc w:val="center"/>
        <w:rPr>
          <w:rFonts w:ascii="方正小标宋简体" w:hAnsi="方正小标宋简体" w:eastAsia="方正小标宋简体"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spacing w:val="20"/>
          <w:sz w:val="44"/>
          <w:szCs w:val="44"/>
        </w:rPr>
        <w:t>贵州省第二女子监狱</w:t>
      </w:r>
    </w:p>
    <w:p>
      <w:pPr>
        <w:pStyle w:val="Normal"/>
        <w:snapToGrid w:val="false"/>
        <w:spacing w:lineRule="exact" w:line="560"/>
        <w:jc w:val="center"/>
        <w:rPr>
          <w:rFonts w:ascii="方正小标宋简体" w:hAnsi="方正小标宋简体" w:eastAsia="方正小标宋简体"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spacing w:val="20"/>
          <w:sz w:val="44"/>
          <w:szCs w:val="44"/>
        </w:rPr>
        <w:t>提请减刑建议书</w:t>
      </w:r>
    </w:p>
    <w:p>
      <w:pPr>
        <w:pStyle w:val="Normal"/>
        <w:spacing w:lineRule="exact" w:line="32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</w:r>
    </w:p>
    <w:p>
      <w:pPr>
        <w:pStyle w:val="Normal"/>
        <w:spacing w:lineRule="exact" w:line="32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  <w:t>(2025)</w:t>
      </w:r>
      <w:r>
        <w:rPr>
          <w:rFonts w:ascii="仿宋_GB2312" w:hAnsi="仿宋_GB2312" w:eastAsia="仿宋_GB2312"/>
          <w:sz w:val="32"/>
          <w:szCs w:val="32"/>
        </w:rPr>
        <w:t>黔二女监减字第</w:t>
      </w:r>
      <w:r>
        <w:rPr>
          <w:rFonts w:eastAsia="仿宋_GB2312" w:ascii="仿宋_GB2312" w:hAnsi="仿宋_GB2312"/>
          <w:sz w:val="32"/>
          <w:szCs w:val="32"/>
        </w:rPr>
        <w:t>355</w:t>
      </w:r>
      <w:r>
        <w:rPr>
          <w:rFonts w:ascii="仿宋_GB2312" w:hAnsi="仿宋_GB2312" w:eastAsia="仿宋_GB2312"/>
          <w:sz w:val="32"/>
          <w:szCs w:val="32"/>
        </w:rPr>
        <w:t>号</w:t>
      </w:r>
    </w:p>
    <w:p>
      <w:pPr>
        <w:pStyle w:val="Normal"/>
        <w:spacing w:lineRule="exact" w:line="32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罪犯陆忠艳，女，</w:t>
      </w:r>
      <w:r>
        <w:rPr>
          <w:rFonts w:eastAsia="仿宋_GB2312" w:ascii="仿宋_GB2312" w:hAnsi="仿宋_GB2312"/>
          <w:sz w:val="32"/>
          <w:szCs w:val="32"/>
        </w:rPr>
        <w:t>1984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3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3</w:t>
      </w:r>
      <w:r>
        <w:rPr>
          <w:rFonts w:ascii="仿宋_GB2312" w:hAnsi="仿宋_GB2312" w:eastAsia="仿宋_GB2312"/>
          <w:sz w:val="32"/>
          <w:szCs w:val="32"/>
        </w:rPr>
        <w:t>日生，布依族，小学文化贵州省册亨县人，现在贵州省第二女子监狱服刑。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3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21</w:t>
      </w:r>
      <w:r>
        <w:rPr>
          <w:rFonts w:ascii="仿宋_GB2312" w:hAnsi="仿宋_GB2312" w:eastAsia="仿宋_GB2312"/>
          <w:sz w:val="32"/>
          <w:szCs w:val="32"/>
        </w:rPr>
        <w:t>日，贵州省安龙县人民法院作出（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）黔</w:t>
      </w:r>
      <w:r>
        <w:rPr>
          <w:rFonts w:eastAsia="仿宋_GB2312" w:ascii="仿宋_GB2312" w:hAnsi="仿宋_GB2312"/>
          <w:sz w:val="32"/>
          <w:szCs w:val="32"/>
        </w:rPr>
        <w:t>2328</w:t>
      </w:r>
      <w:r>
        <w:rPr>
          <w:rFonts w:ascii="仿宋_GB2312" w:hAnsi="仿宋_GB2312" w:eastAsia="仿宋_GB2312"/>
          <w:sz w:val="32"/>
          <w:szCs w:val="32"/>
        </w:rPr>
        <w:t>刑初</w:t>
      </w:r>
      <w:r>
        <w:rPr>
          <w:rFonts w:eastAsia="仿宋_GB2312" w:ascii="仿宋_GB2312" w:hAnsi="仿宋_GB2312"/>
          <w:sz w:val="32"/>
          <w:szCs w:val="32"/>
        </w:rPr>
        <w:t>28</w:t>
      </w:r>
      <w:r>
        <w:rPr>
          <w:rFonts w:ascii="仿宋_GB2312" w:hAnsi="仿宋_GB2312" w:eastAsia="仿宋_GB2312"/>
          <w:sz w:val="32"/>
          <w:szCs w:val="32"/>
        </w:rPr>
        <w:t>号刑事判决，认定陆忠艳犯失火罪，判处有期徒刑二年（刑期自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3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20</w:t>
      </w:r>
      <w:r>
        <w:rPr>
          <w:rFonts w:ascii="仿宋_GB2312" w:hAnsi="仿宋_GB2312" w:eastAsia="仿宋_GB2312"/>
          <w:sz w:val="32"/>
          <w:szCs w:val="32"/>
        </w:rPr>
        <w:t>日起至</w:t>
      </w:r>
      <w:r>
        <w:rPr>
          <w:rFonts w:eastAsia="仿宋_GB2312" w:ascii="仿宋_GB2312" w:hAnsi="仿宋_GB2312"/>
          <w:sz w:val="32"/>
          <w:szCs w:val="32"/>
        </w:rPr>
        <w:t>2026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3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4</w:t>
      </w:r>
      <w:r>
        <w:rPr>
          <w:rFonts w:ascii="仿宋_GB2312" w:hAnsi="仿宋_GB2312" w:eastAsia="仿宋_GB2312"/>
          <w:sz w:val="32"/>
          <w:szCs w:val="32"/>
        </w:rPr>
        <w:t>日止）。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判决发生法律效力后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4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25</w:t>
      </w:r>
      <w:r>
        <w:rPr>
          <w:rFonts w:ascii="仿宋_GB2312" w:hAnsi="仿宋_GB2312" w:eastAsia="仿宋_GB2312"/>
          <w:sz w:val="32"/>
          <w:szCs w:val="32"/>
        </w:rPr>
        <w:t>日交付贵州省第一女子监狱执行，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5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23</w:t>
      </w:r>
      <w:r>
        <w:rPr>
          <w:rFonts w:ascii="仿宋_GB2312" w:hAnsi="仿宋_GB2312" w:eastAsia="仿宋_GB2312"/>
          <w:sz w:val="32"/>
          <w:szCs w:val="32"/>
        </w:rPr>
        <w:t>日从贵州省第一女子监狱调入贵州省第二女子监狱服刑。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服刑期间执行刑期变动情况：无。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该犯在服刑改造期间，确有悔改表现，具体事实如下：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一、认罪悔罪方面：罪犯陆忠艳在服刑期间，能服从法院判决，认罪悔罪。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二、遵守法律法规及监规方面：罪犯陆忠艳在服刑期间，基本遵守法律法规及监规纪律，服从管教。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三、教育改造方面：能接受教育改造，积极参加思想、文化、职业技术教育，“三课”学习成绩合格。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四、劳动改造方面：能积极参加劳动，基本完成劳动任务，表现较好。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五、履行财产性判项方面：无。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六、考核奖励情况：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4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12</w:t>
      </w:r>
      <w:r>
        <w:rPr>
          <w:rFonts w:ascii="仿宋_GB2312" w:hAnsi="仿宋_GB2312" w:eastAsia="仿宋_GB2312"/>
          <w:sz w:val="32"/>
          <w:szCs w:val="32"/>
        </w:rPr>
        <w:t>月获物质奖励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次；</w:t>
      </w:r>
      <w:r>
        <w:rPr>
          <w:rFonts w:eastAsia="仿宋_GB2312" w:ascii="仿宋_GB2312" w:hAnsi="仿宋_GB2312"/>
          <w:sz w:val="32"/>
          <w:szCs w:val="32"/>
        </w:rPr>
        <w:t>2025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2025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6</w:t>
      </w:r>
      <w:r>
        <w:rPr>
          <w:rFonts w:ascii="仿宋_GB2312" w:hAnsi="仿宋_GB2312" w:eastAsia="仿宋_GB2312"/>
          <w:sz w:val="32"/>
          <w:szCs w:val="32"/>
        </w:rPr>
        <w:t>月获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个表扬；共获得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个表扬、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个物质奖励。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违规及扣分情况：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8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31</w:t>
      </w:r>
      <w:r>
        <w:rPr>
          <w:rFonts w:ascii="仿宋_GB2312" w:hAnsi="仿宋_GB2312" w:eastAsia="仿宋_GB2312"/>
          <w:sz w:val="32"/>
          <w:szCs w:val="32"/>
        </w:rPr>
        <w:t>日未完成劳动定额</w:t>
      </w:r>
      <w:r>
        <w:rPr>
          <w:rFonts w:eastAsia="仿宋_GB2312" w:ascii="仿宋_GB2312" w:hAnsi="仿宋_GB2312"/>
          <w:sz w:val="32"/>
          <w:szCs w:val="32"/>
        </w:rPr>
        <w:t>15.29%</w:t>
      </w:r>
      <w:r>
        <w:rPr>
          <w:rFonts w:ascii="仿宋_GB2312" w:hAnsi="仿宋_GB2312" w:eastAsia="仿宋_GB2312"/>
          <w:sz w:val="32"/>
          <w:szCs w:val="32"/>
        </w:rPr>
        <w:t>扣分</w:t>
      </w:r>
      <w:r>
        <w:rPr>
          <w:rFonts w:eastAsia="仿宋_GB2312" w:ascii="仿宋_GB2312" w:hAnsi="仿宋_GB2312"/>
          <w:sz w:val="32"/>
          <w:szCs w:val="32"/>
        </w:rPr>
        <w:t>4.58</w:t>
      </w:r>
      <w:r>
        <w:rPr>
          <w:rFonts w:ascii="仿宋_GB2312" w:hAnsi="仿宋_GB2312" w:eastAsia="仿宋_GB2312"/>
          <w:sz w:val="32"/>
          <w:szCs w:val="32"/>
        </w:rPr>
        <w:t>分；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10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31</w:t>
      </w:r>
      <w:r>
        <w:rPr>
          <w:rFonts w:ascii="仿宋_GB2312" w:hAnsi="仿宋_GB2312" w:eastAsia="仿宋_GB2312"/>
          <w:sz w:val="32"/>
          <w:szCs w:val="32"/>
        </w:rPr>
        <w:t>日该犯未完成劳动定额</w:t>
      </w:r>
      <w:r>
        <w:rPr>
          <w:rFonts w:eastAsia="仿宋_GB2312" w:ascii="仿宋_GB2312" w:hAnsi="仿宋_GB2312"/>
          <w:sz w:val="32"/>
          <w:szCs w:val="32"/>
        </w:rPr>
        <w:t>14.41%</w:t>
      </w:r>
      <w:r>
        <w:rPr>
          <w:rFonts w:ascii="仿宋_GB2312" w:hAnsi="仿宋_GB2312" w:eastAsia="仿宋_GB2312"/>
          <w:sz w:val="32"/>
          <w:szCs w:val="32"/>
        </w:rPr>
        <w:t>扣分</w:t>
      </w:r>
      <w:r>
        <w:rPr>
          <w:rFonts w:eastAsia="仿宋_GB2312" w:ascii="仿宋_GB2312" w:hAnsi="仿宋_GB2312"/>
          <w:sz w:val="32"/>
          <w:szCs w:val="32"/>
        </w:rPr>
        <w:t>4.32</w:t>
      </w:r>
      <w:r>
        <w:rPr>
          <w:rFonts w:ascii="仿宋_GB2312" w:hAnsi="仿宋_GB2312" w:eastAsia="仿宋_GB2312"/>
          <w:sz w:val="32"/>
          <w:szCs w:val="32"/>
        </w:rPr>
        <w:t>分；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11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30</w:t>
      </w:r>
      <w:r>
        <w:rPr>
          <w:rFonts w:ascii="仿宋_GB2312" w:hAnsi="仿宋_GB2312" w:eastAsia="仿宋_GB2312"/>
          <w:sz w:val="32"/>
          <w:szCs w:val="32"/>
        </w:rPr>
        <w:t>日该犯未完成劳动定额</w:t>
      </w:r>
      <w:r>
        <w:rPr>
          <w:rFonts w:eastAsia="仿宋_GB2312" w:ascii="仿宋_GB2312" w:hAnsi="仿宋_GB2312"/>
          <w:sz w:val="32"/>
          <w:szCs w:val="32"/>
        </w:rPr>
        <w:t>15.94%</w:t>
      </w:r>
      <w:r>
        <w:rPr>
          <w:rFonts w:ascii="仿宋_GB2312" w:hAnsi="仿宋_GB2312" w:eastAsia="仿宋_GB2312"/>
          <w:sz w:val="32"/>
          <w:szCs w:val="32"/>
        </w:rPr>
        <w:t>扣分</w:t>
      </w:r>
      <w:r>
        <w:rPr>
          <w:rFonts w:eastAsia="仿宋_GB2312" w:ascii="仿宋_GB2312" w:hAnsi="仿宋_GB2312"/>
          <w:sz w:val="32"/>
          <w:szCs w:val="32"/>
        </w:rPr>
        <w:t>4.78</w:t>
      </w:r>
      <w:r>
        <w:rPr>
          <w:rFonts w:ascii="仿宋_GB2312" w:hAnsi="仿宋_GB2312" w:eastAsia="仿宋_GB2312"/>
          <w:sz w:val="32"/>
          <w:szCs w:val="32"/>
        </w:rPr>
        <w:t>分。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从严情形：无。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检察机关审查意见：</w:t>
      </w:r>
      <w:r>
        <w:rPr>
          <w:rFonts w:ascii="仿宋_GB2312" w:hAnsi="仿宋_GB2312" w:eastAsia="仿宋_GB2312"/>
          <w:sz w:val="32"/>
          <w:u w:val="none" w:color="FFFFFF"/>
        </w:rPr>
        <w:t>经审查，我院认为，罪犯陆忠艳符合提请减刑条件。未发现提请减刑建议不当，同意将案件交监狱长办公会审核。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综上所述，罪犯陆忠艳在服刑改造期间，能认真遵守监规，接受教育改造，确有悔改表现。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为此，根据《中华人民共和国刑法》第七十八条第一款、第七十九条、《中华人民共和国刑事诉讼法》第二百七十三条、《中华人民共和国监狱法》第二十九条之规定，建议对罪犯陆忠艳提请减去有期徒刑三个月，特提请裁定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此致</w:t>
      </w:r>
    </w:p>
    <w:p>
      <w:pPr>
        <w:pStyle w:val="Normal"/>
        <w:snapToGrid w:val="false"/>
        <w:spacing w:lineRule="exact" w:line="560"/>
        <w:rPr>
          <w:rFonts w:ascii="仿宋_GB2312" w:hAnsi="仿宋_GB2312" w:eastAsia="仿宋_GB2312"/>
          <w:sz w:val="32"/>
          <w:szCs w:val="32"/>
        </w:rPr>
      </w:pPr>
      <w:r>
        <w:drawing>
          <wp:anchor behindDoc="1" distT="0" distB="0" distL="0" distR="0" simplePos="0" locked="0" layoutInCell="1" allowOverlap="1" relativeHeight="2">
            <wp:simplePos x="0" y="0"/>
            <wp:positionH relativeFrom="column">
              <wp:posOffset>3587750</wp:posOffset>
            </wp:positionH>
            <wp:positionV relativeFrom="paragraph">
              <wp:posOffset>302260</wp:posOffset>
            </wp:positionV>
            <wp:extent cx="1511935" cy="1511935"/>
            <wp:effectExtent l="0" t="0" r="0" b="0"/>
            <wp:wrapNone/>
            <wp:docPr id="1" name="图片 1" descr="{{gz}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{{gz}}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935" cy="1511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仿宋_GB2312" w:hAnsi="仿宋_GB2312" w:eastAsia="仿宋_GB2312"/>
          <w:sz w:val="32"/>
          <w:szCs w:val="32"/>
        </w:rPr>
        <w:t>贵州省贵阳市中级人民法院</w:t>
      </w:r>
    </w:p>
    <w:p>
      <w:pPr>
        <w:pStyle w:val="Normal"/>
        <w:snapToGrid w:val="false"/>
        <w:spacing w:lineRule="exact" w:line="560"/>
        <w:rPr>
          <w:rFonts w:ascii="仿宋" w:hAnsi="仿宋" w:eastAsia="仿宋"/>
          <w:sz w:val="32"/>
          <w:szCs w:val="32"/>
        </w:rPr>
      </w:pPr>
      <w:r>
        <w:rPr>
          <w:rFonts w:eastAsia="仿宋" w:ascii="仿宋" w:hAnsi="仿宋"/>
          <w:sz w:val="32"/>
          <w:szCs w:val="32"/>
        </w:rPr>
      </w:r>
    </w:p>
    <w:p>
      <w:pPr>
        <w:pStyle w:val="Normal"/>
        <w:spacing w:lineRule="exact" w:line="560"/>
        <w:jc w:val="center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 xml:space="preserve">                               </w:t>
      </w:r>
      <w:r>
        <w:rPr>
          <w:rFonts w:ascii="仿宋_GB2312" w:hAnsi="仿宋_GB2312" w:eastAsia="仿宋_GB2312"/>
          <w:sz w:val="32"/>
          <w:szCs w:val="32"/>
        </w:rPr>
        <w:t>（公章）</w:t>
      </w:r>
    </w:p>
    <w:p>
      <w:pPr>
        <w:pStyle w:val="Normal"/>
        <w:snapToGrid w:val="false"/>
        <w:spacing w:lineRule="exact" w:line="560"/>
        <w:ind w:firstLine="5760"/>
        <w:rPr>
          <w:rFonts w:ascii="仿宋" w:hAnsi="仿宋" w:eastAsia="仿宋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  <w:t>2025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11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3</w:t>
      </w:r>
      <w:r>
        <w:rPr>
          <w:rFonts w:ascii="仿宋_GB2312" w:hAnsi="仿宋_GB2312" w:eastAsia="仿宋_GB2312"/>
          <w:sz w:val="32"/>
          <w:szCs w:val="32"/>
        </w:rPr>
        <w:t>日</w:t>
      </w:r>
    </w:p>
    <w:sectPr>
      <w:type w:val="nextPage"/>
      <w:pgSz w:w="11906" w:h="16838"/>
      <w:pgMar w:left="1588" w:right="1474" w:gutter="0" w:header="0" w:top="2098" w:footer="0" w:bottom="1985"/>
      <w:paperSrc w:first="0" w:other="0"/>
      <w:pgNumType w:fmt="decimal"/>
      <w:formProt w:val="false"/>
      <w:textDirection w:val="lrTb"/>
      <w:docGrid w:type="lines" w:linePitch="312" w:charSpace="6143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DejaVu Serif">
    <w:charset w:val="01"/>
    <w:family w:val="roman"/>
    <w:pitch w:val="variable"/>
  </w:font>
  <w:font w:name="等线">
    <w:charset w:val="01"/>
    <w:family w:val="roman"/>
    <w:pitch w:val="variable"/>
  </w:font>
  <w:font w:name="仿宋">
    <w:charset w:val="01"/>
    <w:family w:val="roman"/>
    <w:pitch w:val="variable"/>
  </w:font>
  <w:font w:name="DejaVu Sans">
    <w:charset w:val="01"/>
    <w:family w:val="swiss"/>
    <w:pitch w:val="variable"/>
  </w:font>
  <w:font w:name="方正小标宋简体">
    <w:charset w:val="01"/>
    <w:family w:val="roman"/>
    <w:pitch w:val="variable"/>
  </w:font>
  <w:font w:name="仿宋_GB2312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70"/>
  <w:defaultTabStop w:val="420"/>
  <w:autoHyphenation w:val="true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等线" w:hAnsi="等线" w:eastAsia="等线" w:cs="" w:asciiTheme="minorHAnsi" w:cstheme="minorBidi" w:eastAsiaTheme="minorEastAsia" w:hAnsiTheme="minorHAnsi"/>
        <w:kern w:val="2"/>
        <w:sz w:val="21"/>
        <w:szCs w:val="22"/>
        <w:lang w:val="en-US" w:eastAsia="zh-CN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bidi w:val="0"/>
      <w:spacing w:before="0" w:after="0"/>
      <w:jc w:val="both"/>
    </w:pPr>
    <w:rPr>
      <w:rFonts w:ascii="等线" w:hAnsi="等线" w:eastAsia="等线" w:cs="" w:asciiTheme="minorHAnsi" w:cstheme="minorBidi" w:eastAsiaTheme="minorEastAsia" w:hAnsiTheme="minorHAnsi"/>
      <w:color w:val="auto"/>
      <w:kern w:val="2"/>
      <w:sz w:val="21"/>
      <w:szCs w:val="22"/>
      <w:lang w:val="en-US" w:eastAsia="zh-CN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页眉 字符"/>
    <w:basedOn w:val="DefaultParagraphFont"/>
    <w:link w:val="Header"/>
    <w:uiPriority w:val="99"/>
    <w:qFormat/>
    <w:rsid w:val="00c915da"/>
    <w:rPr>
      <w:sz w:val="18"/>
      <w:szCs w:val="18"/>
    </w:rPr>
  </w:style>
  <w:style w:type="character" w:styleId="Style15" w:customStyle="1">
    <w:name w:val="页脚 字符"/>
    <w:basedOn w:val="DefaultParagraphFont"/>
    <w:link w:val="Footer"/>
    <w:uiPriority w:val="99"/>
    <w:qFormat/>
    <w:rsid w:val="00c915da"/>
    <w:rPr>
      <w:sz w:val="18"/>
      <w:szCs w:val="18"/>
    </w:rPr>
  </w:style>
  <w:style w:type="character" w:styleId="Style16" w:customStyle="1">
    <w:name w:val="称呼 字符"/>
    <w:basedOn w:val="DefaultParagraphFont"/>
    <w:uiPriority w:val="99"/>
    <w:qFormat/>
    <w:rsid w:val="00d57885"/>
    <w:rPr>
      <w:rFonts w:ascii="仿宋" w:hAnsi="仿宋" w:eastAsia="仿宋"/>
      <w:sz w:val="30"/>
      <w:szCs w:val="30"/>
    </w:rPr>
  </w:style>
  <w:style w:type="character" w:styleId="Style17" w:customStyle="1">
    <w:name w:val="结束语 字符"/>
    <w:basedOn w:val="DefaultParagraphFont"/>
    <w:link w:val="Closing"/>
    <w:uiPriority w:val="99"/>
    <w:qFormat/>
    <w:rsid w:val="00d57885"/>
    <w:rPr>
      <w:rFonts w:ascii="仿宋" w:hAnsi="仿宋" w:eastAsia="仿宋"/>
      <w:sz w:val="30"/>
      <w:szCs w:val="30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DejaVu Sans" w:hAnsi="DejaVu Sans" w:eastAsia="Microsoft YaHei" w:cs="WenQuanYi Zen He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WenQuanYi Zen He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WenQuanYi Zen He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WenQuanYi Zen Hei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Style14"/>
    <w:uiPriority w:val="99"/>
    <w:unhideWhenUsed/>
    <w:rsid w:val="00c915da"/>
    <w:pPr>
      <w:pBdr>
        <w:bottom w:val="single" w:sz="6" w:space="1" w:color="000000"/>
      </w:pBdr>
      <w:tabs>
        <w:tab w:val="clear" w:pos="420"/>
        <w:tab w:val="center" w:pos="4153" w:leader="none"/>
        <w:tab w:val="right" w:pos="8306" w:leader="none"/>
      </w:tabs>
      <w:snapToGrid w:val="false"/>
      <w:jc w:val="center"/>
    </w:pPr>
    <w:rPr>
      <w:sz w:val="18"/>
      <w:szCs w:val="18"/>
    </w:rPr>
  </w:style>
  <w:style w:type="paragraph" w:styleId="Footer">
    <w:name w:val="Footer"/>
    <w:basedOn w:val="Normal"/>
    <w:link w:val="Style15"/>
    <w:uiPriority w:val="99"/>
    <w:unhideWhenUsed/>
    <w:rsid w:val="00c915da"/>
    <w:pPr>
      <w:tabs>
        <w:tab w:val="clear" w:pos="420"/>
        <w:tab w:val="center" w:pos="4153" w:leader="none"/>
        <w:tab w:val="right" w:pos="8306" w:leader="none"/>
      </w:tabs>
      <w:snapToGrid w:val="false"/>
      <w:jc w:val="left"/>
    </w:pPr>
    <w:rPr>
      <w:sz w:val="18"/>
      <w:szCs w:val="18"/>
    </w:rPr>
  </w:style>
  <w:style w:type="paragraph" w:styleId="Salutation">
    <w:name w:val="Salutation"/>
    <w:basedOn w:val="Normal"/>
    <w:next w:val="Normal"/>
    <w:link w:val="Style16"/>
    <w:uiPriority w:val="99"/>
    <w:unhideWhenUsed/>
    <w:rsid w:val="00d57885"/>
    <w:pPr/>
    <w:rPr>
      <w:rFonts w:ascii="仿宋" w:hAnsi="仿宋" w:eastAsia="仿宋"/>
      <w:sz w:val="30"/>
      <w:szCs w:val="30"/>
    </w:rPr>
  </w:style>
  <w:style w:type="paragraph" w:styleId="Closing">
    <w:name w:val="Closing"/>
    <w:basedOn w:val="Normal"/>
    <w:link w:val="Style17"/>
    <w:uiPriority w:val="99"/>
    <w:unhideWhenUsed/>
    <w:rsid w:val="00d57885"/>
    <w:pPr>
      <w:ind w:left="100"/>
    </w:pPr>
    <w:rPr>
      <w:rFonts w:ascii="仿宋" w:hAnsi="仿宋" w:eastAsia="仿宋"/>
      <w:sz w:val="30"/>
      <w:szCs w:val="3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b">
    <w:name w:val="Table Grid"/>
    <w:basedOn w:val="a1"/>
    <w:uiPriority w:val="39"/>
    <w:rsid w:val="001357d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主题​​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 pitchFamily="0" charset="1"/>
        <a:ea typeface=""/>
        <a:cs typeface=""/>
      </a:majorFont>
      <a:minorFont>
        <a:latin typeface="等线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Application>LibreOffice/24.2.7.2$Linux_X86_64 LibreOffice_project/420$Build-2</Application>
  <AppVersion>15.0000</AppVersion>
  <Pages>2</Pages>
  <Words>34</Words>
  <Characters>200</Characters>
  <CharactersWithSpaces>233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2022-10-06T01:49:00Z</dcterms:created>
  <dc:creator>曾 三</dc:creator>
  <dc:description/>
  <dc:language>zh-CN</dc:language>
  <cp:lastModifiedBy>三 曾</cp:lastModifiedBy>
  <dcterms:modified xsi:type="dcterms:W3CDTF">2025-08-22T09:14:00Z</dcterms:modified>
  <cp:revision>104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