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352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罪犯潘琴，女，</w:t>
      </w:r>
      <w:r>
        <w:rPr>
          <w:rFonts w:eastAsia="仿宋_GB2312" w:ascii="仿宋_GB2312" w:hAnsi="仿宋_GB2312"/>
          <w:sz w:val="32"/>
          <w:szCs w:val="32"/>
        </w:rPr>
        <w:t>1987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日生，汉族，初中文化贵州省纳雍县人，现在贵州省第二女子监狱服刑。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日，贵州省贵阳市南明区人民法院作出（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0102</w:t>
      </w:r>
      <w:r>
        <w:rPr>
          <w:rFonts w:ascii="仿宋_GB2312" w:hAnsi="仿宋_GB2312" w:eastAsia="仿宋_GB2312"/>
          <w:sz w:val="32"/>
          <w:szCs w:val="32"/>
        </w:rPr>
        <w:t>刑初字第</w:t>
      </w:r>
      <w:r>
        <w:rPr>
          <w:rFonts w:eastAsia="仿宋_GB2312" w:ascii="仿宋_GB2312" w:hAnsi="仿宋_GB2312"/>
          <w:sz w:val="32"/>
          <w:szCs w:val="32"/>
        </w:rPr>
        <w:t>876</w:t>
      </w:r>
      <w:r>
        <w:rPr>
          <w:rFonts w:ascii="仿宋_GB2312" w:hAnsi="仿宋_GB2312" w:eastAsia="仿宋_GB2312"/>
          <w:sz w:val="32"/>
          <w:szCs w:val="32"/>
        </w:rPr>
        <w:t>号刑事判决，认定潘琴犯贩卖毒品罪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判处有期徒刑七年，并处罚金人民币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元。与原判贩卖、运输毒品罪，判处有期徒刑八年，并处罚金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元并罚。决定执行有期徒刑十三年，并处罚金人民币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元。刑期自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一、认罪悔罪方面：罪犯潘琴在服刑期间，能服从法院判决，认罪悔罪。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二、遵守法律法规及监规方面：罪犯潘琴在服刑期间，基本遵守法律法规及监规纪律，服从管教。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20.04%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6.01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47.16%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14.14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66.13%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19.83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40.27%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12.08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20.22%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6.06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17.08%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5.12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49%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14.70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经审查，我院认为，罪犯潘琴符合提请减刑条件。未发现提请减刑建议不当，同意将案件交监狱长办公会审核。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综上所述，罪犯潘琴在服刑改造期间，能认真遵守监规，接受教育改造，确有悔改表现。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潘琴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