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罪犯刘亚兰，女，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日生，汉族，高中文化贵州省大方县人，现在贵州省第二女子监狱服刑。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日，贵州省贵阳市观山湖区人民法院作出（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0115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247 </w:t>
      </w:r>
      <w:r>
        <w:rPr>
          <w:rFonts w:ascii="仿宋_GB2312" w:hAnsi="仿宋_GB2312" w:eastAsia="仿宋_GB2312"/>
          <w:sz w:val="32"/>
          <w:szCs w:val="32"/>
        </w:rPr>
        <w:t>号刑事判决，认定刘亚兰犯侵犯公民个人信息罪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判处有期徒刑四年三个月，并处罚金人民币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元；与前罪诈骗罪，判处的有期徒刑三年，并处罚金人民币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元并罚。决定执行有期徒刑六年九个月（刑期自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一、认罪悔罪方面：罪犯刘亚兰在服刑期间，能服从法院判决，认罪悔罪。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二、遵守法律法规及监规方面：罪犯刘亚兰在服刑期间，基本遵守法律法规及监规纪律，服从管教。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1.30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13.62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月该犯未完成劳动定额扣</w:t>
      </w:r>
      <w:r>
        <w:rPr>
          <w:rFonts w:eastAsia="仿宋_GB2312" w:ascii="仿宋_GB2312" w:hAnsi="仿宋_GB2312"/>
          <w:sz w:val="32"/>
          <w:szCs w:val="32"/>
        </w:rPr>
        <w:t>5.23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10.51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日该犯在制衣过程中产品质量不达标扣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判决认定该犯在缓刑考验期再犯新罪，主观恶性深，社会危害较大。建议从严提请减刑八个月。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综上所述，罪犯刘亚兰在服刑改造期间，能认真遵守监规，接受教育改造，确有悔改表现。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亚兰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