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罪犯颜菲，女，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日生，汉族，中专文化贵州省贵阳市人，现在贵州省第二女子监狱服刑。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641</w:t>
      </w:r>
      <w:r>
        <w:rPr>
          <w:rFonts w:ascii="仿宋_GB2312" w:hAnsi="仿宋_GB2312" w:eastAsia="仿宋_GB2312"/>
          <w:sz w:val="32"/>
          <w:szCs w:val="32"/>
        </w:rPr>
        <w:t>号刑事判决，认定颜菲犯诈骗罪，判处有期徒刑九年（刑期自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元，责令退赔人民币</w:t>
      </w:r>
      <w:r>
        <w:rPr>
          <w:rFonts w:eastAsia="仿宋_GB2312" w:ascii="仿宋_GB2312" w:hAnsi="仿宋_GB2312"/>
          <w:sz w:val="32"/>
          <w:szCs w:val="32"/>
        </w:rPr>
        <w:t>911542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一、认罪悔罪方面：罪犯颜菲在服刑期间，能服从法院判决，认罪悔罪。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二、遵守法律法规及监规方面：罪犯颜菲在服刑期间，认真遵守法律法规及监规纪律，服从管教。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未履行已执行）；责令退赔人民币</w:t>
      </w:r>
      <w:r>
        <w:rPr>
          <w:rFonts w:eastAsia="仿宋_GB2312" w:ascii="仿宋_GB2312" w:hAnsi="仿宋_GB2312"/>
          <w:sz w:val="32"/>
          <w:szCs w:val="32"/>
        </w:rPr>
        <w:t>911542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该犯以非法占有为目的，虚构事实，骗取他财物，数额特别巨大，社会危害性较大，且财产性判项未履行。建议从严提请减刑七个月。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综上所述，罪犯颜菲在服刑改造期间，能认真遵守监规，接受教育改造，确有悔改表现。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颜菲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