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390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罪犯秦洪碧，女，</w:t>
      </w:r>
      <w:r>
        <w:rPr>
          <w:rFonts w:eastAsia="仿宋_GB2312" w:ascii="仿宋_GB2312" w:hAnsi="仿宋_GB2312"/>
          <w:sz w:val="32"/>
          <w:szCs w:val="32"/>
        </w:rPr>
        <w:t>1966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日生，汉族，初中文化贵州省息烽县人，现在贵州省第二女子监狱服刑。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日，贵州省息烽县人民法院作出（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）息刑初字第</w:t>
      </w:r>
      <w:r>
        <w:rPr>
          <w:rFonts w:eastAsia="仿宋_GB2312" w:ascii="仿宋_GB2312" w:hAnsi="仿宋_GB2312"/>
          <w:sz w:val="32"/>
          <w:szCs w:val="32"/>
        </w:rPr>
        <w:t>91</w:t>
      </w:r>
      <w:r>
        <w:rPr>
          <w:rFonts w:ascii="仿宋_GB2312" w:hAnsi="仿宋_GB2312" w:eastAsia="仿宋_GB2312"/>
          <w:sz w:val="32"/>
          <w:szCs w:val="32"/>
        </w:rPr>
        <w:t>号刑事判决，认定秦洪碧犯拐卖妇女罪，判处有期徒刑五年。该犯因怀孕取保候审后脱逃，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日，贵州省息烽县人民法院作出（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0122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号收监执行决定书，将罪犯秦洪碧收监执行（刑期自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一、认罪悔罪方面：罪犯秦洪碧在服刑期间，能服从法院判决，认罪悔罪。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二、遵守法律法规及监规方面：罪犯秦洪碧在服刑期间，基本遵守法律法规及监规纪律，服从管教。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四、劳动改造方面：能正常参加劳动，表现较好。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9.26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10.99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9.87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5.78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2.24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经审查，我院认为，罪犯秦洪碧符合提请减刑条件。未发现提请减刑建议不当，同意将案件交监狱长办公会审核。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综上所述，罪犯秦洪碧在服刑改造期间，能认真遵守监规，接受教育改造，确有悔改表现。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秦洪碧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