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罪犯刘艳，女，</w:t>
      </w:r>
      <w:r>
        <w:rPr>
          <w:rFonts w:eastAsia="仿宋_GB2312" w:ascii="仿宋_GB2312" w:hAnsi="仿宋_GB2312"/>
          <w:sz w:val="32"/>
          <w:szCs w:val="32"/>
        </w:rPr>
        <w:t>1971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日生，汉族，小学文化贵州省织金县人，现在贵州省第二女子监狱服刑。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日，贵州省大方县人民法院作出</w:t>
      </w:r>
      <w:r>
        <w:rPr>
          <w:rFonts w:eastAsia="仿宋_GB2312" w:ascii="仿宋_GB2312" w:hAnsi="仿宋_GB2312"/>
          <w:sz w:val="32"/>
          <w:szCs w:val="32"/>
        </w:rPr>
        <w:t>(2020)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0521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63</w:t>
      </w:r>
      <w:r>
        <w:rPr>
          <w:rFonts w:ascii="仿宋_GB2312" w:hAnsi="仿宋_GB2312" w:eastAsia="仿宋_GB2312"/>
          <w:sz w:val="32"/>
          <w:szCs w:val="32"/>
        </w:rPr>
        <w:t>号刑事判决，认定刘艳犯贩卖毒品罪，判处有期徒刑十五年（刑期自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日止），没收个人财产人民币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25200.00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390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日经贵州省贵阳市中级人民法院裁定减去有期徒刑五个月。（现刑期自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二、遵守法律法规及监规方面：罪犯刘艳在服刑期间，基本遵守法律法规及监规纪律，服从管教。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未履行已执行）；追缴违法所得人民币</w:t>
      </w:r>
      <w:r>
        <w:rPr>
          <w:rFonts w:eastAsia="仿宋_GB2312" w:ascii="仿宋_GB2312" w:hAnsi="仿宋_GB2312"/>
          <w:sz w:val="32"/>
          <w:szCs w:val="32"/>
        </w:rPr>
        <w:t>25200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25.19%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7.55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经审查，我院认为，罪犯刘艳符合提请减刑条件。未发现提请减刑建议不当，同意将案件交监狱长办公会审核。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综上所述，罪犯刘艳自上次裁定减刑以来，能认真遵守监规，接受教育改造，确有悔改表现。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艳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