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罪犯吴燕，女，</w:t>
      </w:r>
      <w:r>
        <w:rPr>
          <w:rFonts w:eastAsia="仿宋_GB2312" w:ascii="仿宋_GB2312" w:hAnsi="仿宋_GB2312"/>
          <w:sz w:val="32"/>
          <w:szCs w:val="32"/>
        </w:rPr>
        <w:t>1975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日生，汉族，小学文化贵州省铜仁市碧江区人，现在贵州省第二女子监狱服刑。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日，贵州省三穗县人民法院作出（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号刑事判决，认定吴燕犯组织卖淫罪，判处有期徒刑九年（刑期自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80000.00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60000.00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73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一、认罪悔罪方面：罪犯吴燕在服刑期间，能服从法院判决，认罪悔罪。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二、遵守法律法规及监规方面：罪犯吴燕在服刑期间，基本遵守法律法规及监规纪律，服从管教。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80000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未执行）；追缴违法所得人民币</w:t>
      </w:r>
      <w:r>
        <w:rPr>
          <w:rFonts w:eastAsia="仿宋_GB2312" w:ascii="仿宋_GB2312" w:hAnsi="仿宋_GB2312"/>
          <w:sz w:val="32"/>
          <w:szCs w:val="32"/>
        </w:rPr>
        <w:t>60000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日凌晨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时</w:t>
      </w:r>
      <w:r>
        <w:rPr>
          <w:rFonts w:eastAsia="仿宋_GB2312" w:ascii="仿宋_GB2312" w:hAnsi="仿宋_GB2312"/>
          <w:sz w:val="32"/>
          <w:szCs w:val="32"/>
        </w:rPr>
        <w:t>43</w:t>
      </w:r>
      <w:r>
        <w:rPr>
          <w:rFonts w:ascii="仿宋_GB2312" w:hAnsi="仿宋_GB2312" w:eastAsia="仿宋_GB2312"/>
          <w:sz w:val="32"/>
          <w:szCs w:val="32"/>
        </w:rPr>
        <w:t>分，该犯在值班期间擅自出监舍打水，不听值星员劝阻，发生争吵。扣分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日，该犯在生产现场企图使用已钝化、链化、短化的大剪刀实施自伤自残。扣分</w:t>
      </w:r>
      <w:r>
        <w:rPr>
          <w:rFonts w:eastAsia="仿宋_GB2312" w:ascii="仿宋_GB2312" w:hAnsi="仿宋_GB2312"/>
          <w:sz w:val="32"/>
          <w:szCs w:val="32"/>
        </w:rPr>
        <w:t>20.00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从严情形：该犯组织未成年人卖淫，对未成年人身心造成伤害。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经审查，我院认为，罪犯吴燕符合提请减刑条件。未发现提请减刑建议不当，同意将案件交监狱长办公会审核。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综上所述，罪犯吴燕在服刑改造期间，能认真遵守监规，接受教育改造，确有悔改表现。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燕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