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罪犯危路琴，女，</w:t>
      </w:r>
      <w:r>
        <w:rPr>
          <w:rFonts w:eastAsia="仿宋_GB2312" w:ascii="仿宋_GB2312" w:hAnsi="仿宋_GB2312"/>
          <w:sz w:val="32"/>
          <w:szCs w:val="32"/>
        </w:rPr>
        <w:t>1993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日生，汉族，高中文化贵州省惠水县人，现在贵州省第二女子监狱服刑。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日，贵州省黔南布依族苗族自治州中级人民法院作出（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号刑事附带民事判决，认定危路琴犯故意伤害罪，判处有期徒刑十二年（刑期自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日止），附带民事赔偿人民币</w:t>
      </w:r>
      <w:r>
        <w:rPr>
          <w:rFonts w:eastAsia="仿宋_GB2312" w:ascii="仿宋_GB2312" w:hAnsi="仿宋_GB2312"/>
          <w:sz w:val="32"/>
          <w:szCs w:val="32"/>
        </w:rPr>
        <w:t>60000.00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一、认罪悔罪方面：罪犯危路琴在服刑期间，能服从法院判决，认罪悔罪。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二、遵守法律法规及监规方面：罪犯危路琴在服刑期间，认真遵守法律法规及监规纪律，服从管教。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五、履行财产性判项方面：民事赔偿人民币</w:t>
      </w:r>
      <w:r>
        <w:rPr>
          <w:rFonts w:eastAsia="仿宋_GB2312" w:ascii="仿宋_GB2312" w:hAnsi="仿宋_GB2312"/>
          <w:sz w:val="32"/>
          <w:szCs w:val="32"/>
        </w:rPr>
        <w:t>60000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已部分履行</w:t>
      </w:r>
      <w:r>
        <w:rPr>
          <w:rFonts w:eastAsia="仿宋_GB2312" w:ascii="仿宋_GB2312" w:hAnsi="仿宋_GB2312"/>
          <w:sz w:val="32"/>
          <w:szCs w:val="32"/>
        </w:rPr>
        <w:t>6000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月未完成劳动定额扣</w:t>
      </w:r>
      <w:r>
        <w:rPr>
          <w:rFonts w:eastAsia="仿宋_GB2312" w:ascii="仿宋_GB2312" w:hAnsi="仿宋_GB2312"/>
          <w:sz w:val="32"/>
          <w:szCs w:val="32"/>
        </w:rPr>
        <w:t>3.75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从严情形：月均消费超过但未明显超过全省罪犯上一年度月均消费额度。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经审查，我院认为，罪犯危路琴符合提请减刑条件。未发现提请减刑建议不当，同意将案件交监狱长办公会审核。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综上所述，罪犯危路琴在服刑改造期间，能认真遵守监规，接受教育改造，确有悔改表现。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危路琴提请减去有期徒刑八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