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media/image1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napToGrid w:val="false"/>
        <w:spacing w:lineRule="exact" w:line="560"/>
        <w:jc w:val="center"/>
        <w:rPr>
          <w:rFonts w:ascii="方正小标宋简体" w:hAnsi="方正小标宋简体" w:eastAsia="方正小标宋简体"/>
          <w:spacing w:val="20"/>
          <w:sz w:val="44"/>
          <w:szCs w:val="44"/>
        </w:rPr>
      </w:pPr>
      <w:r>
        <w:rPr>
          <w:rFonts w:ascii="方正小标宋简体" w:hAnsi="方正小标宋简体" w:eastAsia="方正小标宋简体"/>
          <w:spacing w:val="20"/>
          <w:sz w:val="44"/>
          <w:szCs w:val="44"/>
        </w:rPr>
        <w:t>贵州省第二女子监狱</w:t>
      </w:r>
    </w:p>
    <w:p>
      <w:pPr>
        <w:pStyle w:val="Normal"/>
        <w:snapToGrid w:val="false"/>
        <w:spacing w:lineRule="exact" w:line="560"/>
        <w:jc w:val="center"/>
        <w:rPr>
          <w:rFonts w:ascii="方正小标宋简体" w:hAnsi="方正小标宋简体" w:eastAsia="方正小标宋简体"/>
          <w:spacing w:val="20"/>
          <w:sz w:val="44"/>
          <w:szCs w:val="44"/>
        </w:rPr>
      </w:pPr>
      <w:r>
        <w:rPr>
          <w:rFonts w:ascii="方正小标宋简体" w:hAnsi="方正小标宋简体" w:eastAsia="方正小标宋简体"/>
          <w:spacing w:val="20"/>
          <w:sz w:val="44"/>
          <w:szCs w:val="44"/>
        </w:rPr>
        <w:t>提请减刑建议书</w:t>
      </w:r>
    </w:p>
    <w:p>
      <w:pPr>
        <w:pStyle w:val="Normal"/>
        <w:spacing w:lineRule="exact" w:line="320"/>
        <w:jc w:val="right"/>
        <w:rPr>
          <w:rFonts w:ascii="仿宋_GB2312" w:hAnsi="仿宋_GB2312" w:eastAsia="仿宋_GB2312"/>
          <w:sz w:val="32"/>
          <w:szCs w:val="32"/>
        </w:rPr>
      </w:pPr>
      <w:r>
        <w:rPr>
          <w:rFonts w:eastAsia="仿宋_GB2312" w:ascii="仿宋_GB2312" w:hAnsi="仿宋_GB2312"/>
          <w:sz w:val="32"/>
          <w:szCs w:val="32"/>
        </w:rPr>
      </w:r>
    </w:p>
    <w:p>
      <w:pPr>
        <w:pStyle w:val="Normal"/>
        <w:spacing w:lineRule="exact" w:line="320"/>
        <w:jc w:val="right"/>
        <w:rPr>
          <w:rFonts w:ascii="仿宋_GB2312" w:hAnsi="仿宋_GB2312" w:eastAsia="仿宋_GB2312"/>
          <w:sz w:val="32"/>
          <w:szCs w:val="32"/>
        </w:rPr>
      </w:pPr>
      <w:r>
        <w:rPr>
          <w:rFonts w:eastAsia="仿宋_GB2312" w:ascii="仿宋_GB2312" w:hAnsi="仿宋_GB2312"/>
          <w:sz w:val="32"/>
          <w:szCs w:val="32"/>
        </w:rPr>
        <w:t>(2026)</w:t>
      </w:r>
      <w:r>
        <w:rPr>
          <w:rFonts w:ascii="仿宋_GB2312" w:hAnsi="仿宋_GB2312" w:eastAsia="仿宋_GB2312"/>
          <w:sz w:val="32"/>
          <w:szCs w:val="32"/>
        </w:rPr>
        <w:t>黔二女监减字第</w:t>
      </w:r>
      <w:r>
        <w:rPr>
          <w:rFonts w:eastAsia="仿宋_GB2312" w:ascii="仿宋_GB2312" w:hAnsi="仿宋_GB2312"/>
          <w:sz w:val="32"/>
          <w:szCs w:val="32"/>
        </w:rPr>
        <w:t>15</w:t>
      </w:r>
      <w:r>
        <w:rPr>
          <w:rFonts w:ascii="仿宋_GB2312" w:hAnsi="仿宋_GB2312" w:eastAsia="仿宋_GB2312"/>
          <w:sz w:val="32"/>
          <w:szCs w:val="32"/>
        </w:rPr>
        <w:t>号</w:t>
      </w:r>
    </w:p>
    <w:p>
      <w:pPr>
        <w:pStyle w:val="Normal"/>
        <w:spacing w:lineRule="exact" w:line="320"/>
        <w:jc w:val="right"/>
        <w:rPr>
          <w:rFonts w:ascii="仿宋_GB2312" w:hAnsi="仿宋_GB2312" w:eastAsia="仿宋_GB2312"/>
          <w:sz w:val="32"/>
          <w:szCs w:val="32"/>
        </w:rPr>
      </w:pPr>
      <w:r>
        <w:rPr>
          <w:rFonts w:eastAsia="仿宋_GB2312" w:ascii="仿宋_GB2312" w:hAnsi="仿宋_GB2312"/>
          <w:sz w:val="32"/>
          <w:szCs w:val="32"/>
        </w:rPr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罪犯熊夏鑫，女，</w:t>
      </w:r>
      <w:r>
        <w:rPr>
          <w:rFonts w:eastAsia="仿宋_GB2312" w:ascii="仿宋_GB2312" w:hAnsi="仿宋_GB2312"/>
          <w:sz w:val="32"/>
          <w:szCs w:val="32"/>
        </w:rPr>
        <w:t>2003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6</w:t>
      </w:r>
      <w:r>
        <w:rPr>
          <w:rFonts w:ascii="仿宋_GB2312" w:hAnsi="仿宋_GB2312" w:eastAsia="仿宋_GB2312"/>
          <w:sz w:val="32"/>
          <w:szCs w:val="32"/>
        </w:rPr>
        <w:t>月</w:t>
      </w:r>
      <w:r>
        <w:rPr>
          <w:rFonts w:eastAsia="仿宋_GB2312" w:ascii="仿宋_GB2312" w:hAnsi="仿宋_GB2312"/>
          <w:sz w:val="32"/>
          <w:szCs w:val="32"/>
        </w:rPr>
        <w:t>20</w:t>
      </w:r>
      <w:r>
        <w:rPr>
          <w:rFonts w:ascii="仿宋_GB2312" w:hAnsi="仿宋_GB2312" w:eastAsia="仿宋_GB2312"/>
          <w:sz w:val="32"/>
          <w:szCs w:val="32"/>
        </w:rPr>
        <w:t>日生，土家族，初中文化贵州省印江土家族苗族自治县人，现在贵州省第二女子监狱服刑。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eastAsia="仿宋_GB2312" w:ascii="仿宋_GB2312" w:hAnsi="仿宋_GB2312"/>
          <w:sz w:val="32"/>
          <w:szCs w:val="32"/>
        </w:rPr>
        <w:t>2024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9</w:t>
      </w:r>
      <w:r>
        <w:rPr>
          <w:rFonts w:ascii="仿宋_GB2312" w:hAnsi="仿宋_GB2312" w:eastAsia="仿宋_GB2312"/>
          <w:sz w:val="32"/>
          <w:szCs w:val="32"/>
        </w:rPr>
        <w:t>月</w:t>
      </w:r>
      <w:r>
        <w:rPr>
          <w:rFonts w:eastAsia="仿宋_GB2312" w:ascii="仿宋_GB2312" w:hAnsi="仿宋_GB2312"/>
          <w:sz w:val="32"/>
          <w:szCs w:val="32"/>
        </w:rPr>
        <w:t>26</w:t>
      </w:r>
      <w:r>
        <w:rPr>
          <w:rFonts w:ascii="仿宋_GB2312" w:hAnsi="仿宋_GB2312" w:eastAsia="仿宋_GB2312"/>
          <w:sz w:val="32"/>
          <w:szCs w:val="32"/>
        </w:rPr>
        <w:t>日，贵州省印江土家族苗族自治县人民法院作出（</w:t>
      </w:r>
      <w:r>
        <w:rPr>
          <w:rFonts w:eastAsia="仿宋_GB2312" w:ascii="仿宋_GB2312" w:hAnsi="仿宋_GB2312"/>
          <w:sz w:val="32"/>
          <w:szCs w:val="32"/>
        </w:rPr>
        <w:t>2024</w:t>
      </w:r>
      <w:r>
        <w:rPr>
          <w:rFonts w:ascii="仿宋_GB2312" w:hAnsi="仿宋_GB2312" w:eastAsia="仿宋_GB2312"/>
          <w:sz w:val="32"/>
          <w:szCs w:val="32"/>
        </w:rPr>
        <w:t>）黔</w:t>
      </w:r>
      <w:r>
        <w:rPr>
          <w:rFonts w:eastAsia="仿宋_GB2312" w:ascii="仿宋_GB2312" w:hAnsi="仿宋_GB2312"/>
          <w:sz w:val="32"/>
          <w:szCs w:val="32"/>
        </w:rPr>
        <w:t>0625</w:t>
      </w:r>
      <w:r>
        <w:rPr>
          <w:rFonts w:ascii="仿宋_GB2312" w:hAnsi="仿宋_GB2312" w:eastAsia="仿宋_GB2312"/>
          <w:sz w:val="32"/>
          <w:szCs w:val="32"/>
        </w:rPr>
        <w:t>刑初</w:t>
      </w:r>
      <w:r>
        <w:rPr>
          <w:rFonts w:eastAsia="仿宋_GB2312" w:ascii="仿宋_GB2312" w:hAnsi="仿宋_GB2312"/>
          <w:sz w:val="32"/>
          <w:szCs w:val="32"/>
        </w:rPr>
        <w:t>166</w:t>
      </w:r>
      <w:r>
        <w:rPr>
          <w:rFonts w:ascii="仿宋_GB2312" w:hAnsi="仿宋_GB2312" w:eastAsia="仿宋_GB2312"/>
          <w:sz w:val="32"/>
          <w:szCs w:val="32"/>
        </w:rPr>
        <w:t>号刑事判决，认定熊夏鑫犯偷越国（边）境罪，判处拘役六个月，并处罚金人民币一千元；犯诈骗罪</w:t>
      </w:r>
      <w:r>
        <w:rPr>
          <w:rFonts w:eastAsia="仿宋_GB2312" w:ascii="仿宋_GB2312" w:hAnsi="仿宋_GB2312"/>
          <w:sz w:val="32"/>
          <w:szCs w:val="32"/>
        </w:rPr>
        <w:t>,</w:t>
      </w:r>
      <w:r>
        <w:rPr>
          <w:rFonts w:ascii="仿宋_GB2312" w:hAnsi="仿宋_GB2312" w:eastAsia="仿宋_GB2312"/>
          <w:sz w:val="32"/>
          <w:szCs w:val="32"/>
        </w:rPr>
        <w:t>判处有期徒刑一年十一个月，并处罚金人民币一万元。数罪并罚，决定执行有期徒刑一年十一个月，并处罚金人民币一万一千元（刑期自</w:t>
      </w:r>
      <w:r>
        <w:rPr>
          <w:rFonts w:eastAsia="仿宋_GB2312" w:ascii="仿宋_GB2312" w:hAnsi="仿宋_GB2312"/>
          <w:sz w:val="32"/>
          <w:szCs w:val="32"/>
        </w:rPr>
        <w:t>2024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9</w:t>
      </w:r>
      <w:r>
        <w:rPr>
          <w:rFonts w:ascii="仿宋_GB2312" w:hAnsi="仿宋_GB2312" w:eastAsia="仿宋_GB2312"/>
          <w:sz w:val="32"/>
          <w:szCs w:val="32"/>
        </w:rPr>
        <w:t>月</w:t>
      </w:r>
      <w:r>
        <w:rPr>
          <w:rFonts w:eastAsia="仿宋_GB2312" w:ascii="仿宋_GB2312" w:hAnsi="仿宋_GB2312"/>
          <w:sz w:val="32"/>
          <w:szCs w:val="32"/>
        </w:rPr>
        <w:t>26</w:t>
      </w:r>
      <w:r>
        <w:rPr>
          <w:rFonts w:ascii="仿宋_GB2312" w:hAnsi="仿宋_GB2312" w:eastAsia="仿宋_GB2312"/>
          <w:sz w:val="32"/>
          <w:szCs w:val="32"/>
        </w:rPr>
        <w:t>日起至</w:t>
      </w:r>
      <w:r>
        <w:rPr>
          <w:rFonts w:eastAsia="仿宋_GB2312" w:ascii="仿宋_GB2312" w:hAnsi="仿宋_GB2312"/>
          <w:sz w:val="32"/>
          <w:szCs w:val="32"/>
        </w:rPr>
        <w:t>2026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6</w:t>
      </w:r>
      <w:r>
        <w:rPr>
          <w:rFonts w:ascii="仿宋_GB2312" w:hAnsi="仿宋_GB2312" w:eastAsia="仿宋_GB2312"/>
          <w:sz w:val="32"/>
          <w:szCs w:val="32"/>
        </w:rPr>
        <w:t>月</w:t>
      </w:r>
      <w:r>
        <w:rPr>
          <w:rFonts w:eastAsia="仿宋_GB2312" w:ascii="仿宋_GB2312" w:hAnsi="仿宋_GB2312"/>
          <w:sz w:val="32"/>
          <w:szCs w:val="32"/>
        </w:rPr>
        <w:t>15</w:t>
      </w:r>
      <w:r>
        <w:rPr>
          <w:rFonts w:ascii="仿宋_GB2312" w:hAnsi="仿宋_GB2312" w:eastAsia="仿宋_GB2312"/>
          <w:sz w:val="32"/>
          <w:szCs w:val="32"/>
        </w:rPr>
        <w:t>日止）。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判决发生法律效力后</w:t>
      </w:r>
      <w:r>
        <w:rPr>
          <w:rFonts w:eastAsia="仿宋_GB2312" w:ascii="仿宋_GB2312" w:hAnsi="仿宋_GB2312"/>
          <w:sz w:val="32"/>
          <w:szCs w:val="32"/>
        </w:rPr>
        <w:t>2024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10</w:t>
      </w:r>
      <w:r>
        <w:rPr>
          <w:rFonts w:ascii="仿宋_GB2312" w:hAnsi="仿宋_GB2312" w:eastAsia="仿宋_GB2312"/>
          <w:sz w:val="32"/>
          <w:szCs w:val="32"/>
        </w:rPr>
        <w:t>月</w:t>
      </w:r>
      <w:r>
        <w:rPr>
          <w:rFonts w:eastAsia="仿宋_GB2312" w:ascii="仿宋_GB2312" w:hAnsi="仿宋_GB2312"/>
          <w:sz w:val="32"/>
          <w:szCs w:val="32"/>
        </w:rPr>
        <w:t>29</w:t>
      </w:r>
      <w:r>
        <w:rPr>
          <w:rFonts w:ascii="仿宋_GB2312" w:hAnsi="仿宋_GB2312" w:eastAsia="仿宋_GB2312"/>
          <w:sz w:val="32"/>
          <w:szCs w:val="32"/>
        </w:rPr>
        <w:t>日交付执行，</w:t>
      </w:r>
      <w:r>
        <w:rPr>
          <w:rFonts w:eastAsia="仿宋_GB2312" w:ascii="仿宋_GB2312" w:hAnsi="仿宋_GB2312"/>
          <w:sz w:val="32"/>
          <w:szCs w:val="32"/>
        </w:rPr>
        <w:t>2024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11</w:t>
      </w:r>
      <w:r>
        <w:rPr>
          <w:rFonts w:ascii="仿宋_GB2312" w:hAnsi="仿宋_GB2312" w:eastAsia="仿宋_GB2312"/>
          <w:sz w:val="32"/>
          <w:szCs w:val="32"/>
        </w:rPr>
        <w:t>月</w:t>
      </w:r>
      <w:r>
        <w:rPr>
          <w:rFonts w:eastAsia="仿宋_GB2312" w:ascii="仿宋_GB2312" w:hAnsi="仿宋_GB2312"/>
          <w:sz w:val="32"/>
          <w:szCs w:val="32"/>
        </w:rPr>
        <w:t>22</w:t>
      </w:r>
      <w:r>
        <w:rPr>
          <w:rFonts w:ascii="仿宋_GB2312" w:hAnsi="仿宋_GB2312" w:eastAsia="仿宋_GB2312"/>
          <w:sz w:val="32"/>
          <w:szCs w:val="32"/>
        </w:rPr>
        <w:t>日从贵州省第一女子监狱调入贵州省第二女子监狱服刑。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服刑期间执行刑期变动情况：无。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该犯在服刑改造期间，确有悔改表现，具体事实如下：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一、认罪悔罪方面：罪犯熊夏鑫在服刑期间，能服从法院判决，认罪悔罪。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二、遵守法律法规及监规方面：罪犯熊夏鑫在服刑期间，认真遵守法律法规及监规纪律，服从管教。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三、教育改造方面：能接受教育改造，积极参加思想、文化、职业技术教育，“三课”学习成绩合格。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四、劳动改造方面：能积极参加劳动，按时完成劳动任务，表现好。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五、履行财产性判项方面：罚金人民币</w:t>
      </w:r>
      <w:r>
        <w:rPr>
          <w:rFonts w:eastAsia="仿宋_GB2312" w:ascii="仿宋_GB2312" w:hAnsi="仿宋_GB2312"/>
          <w:sz w:val="32"/>
          <w:szCs w:val="32"/>
        </w:rPr>
        <w:t>11000</w:t>
      </w:r>
      <w:r>
        <w:rPr>
          <w:rFonts w:ascii="仿宋_GB2312" w:hAnsi="仿宋_GB2312" w:eastAsia="仿宋_GB2312"/>
          <w:sz w:val="32"/>
          <w:szCs w:val="32"/>
        </w:rPr>
        <w:t>元</w:t>
      </w:r>
      <w:r>
        <w:rPr>
          <w:rFonts w:eastAsia="仿宋_GB2312" w:ascii="仿宋_GB2312" w:hAnsi="仿宋_GB2312"/>
          <w:sz w:val="32"/>
          <w:szCs w:val="32"/>
        </w:rPr>
        <w:t>(</w:t>
      </w:r>
      <w:r>
        <w:rPr>
          <w:rFonts w:ascii="仿宋_GB2312" w:hAnsi="仿宋_GB2312" w:eastAsia="仿宋_GB2312"/>
          <w:sz w:val="32"/>
          <w:szCs w:val="32"/>
        </w:rPr>
        <w:t>已全部缴纳</w:t>
      </w:r>
      <w:r>
        <w:rPr>
          <w:rFonts w:eastAsia="仿宋_GB2312" w:ascii="仿宋_GB2312" w:hAnsi="仿宋_GB2312"/>
          <w:sz w:val="32"/>
          <w:szCs w:val="32"/>
        </w:rPr>
        <w:t>)</w:t>
      </w:r>
      <w:r>
        <w:rPr>
          <w:rFonts w:ascii="仿宋_GB2312" w:hAnsi="仿宋_GB2312" w:eastAsia="仿宋_GB2312"/>
          <w:sz w:val="32"/>
          <w:szCs w:val="32"/>
        </w:rPr>
        <w:t>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六、考核奖励情况：</w:t>
      </w:r>
      <w:r>
        <w:rPr>
          <w:rFonts w:eastAsia="仿宋_GB2312" w:ascii="仿宋_GB2312" w:hAnsi="仿宋_GB2312"/>
          <w:sz w:val="32"/>
          <w:szCs w:val="32"/>
        </w:rPr>
        <w:t>2024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10</w:t>
      </w:r>
      <w:r>
        <w:rPr>
          <w:rFonts w:ascii="仿宋_GB2312" w:hAnsi="仿宋_GB2312" w:eastAsia="仿宋_GB2312"/>
          <w:sz w:val="32"/>
          <w:szCs w:val="32"/>
        </w:rPr>
        <w:t>月至</w:t>
      </w:r>
      <w:r>
        <w:rPr>
          <w:rFonts w:eastAsia="仿宋_GB2312" w:ascii="仿宋_GB2312" w:hAnsi="仿宋_GB2312"/>
          <w:sz w:val="32"/>
          <w:szCs w:val="32"/>
        </w:rPr>
        <w:t>2025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6</w:t>
      </w:r>
      <w:r>
        <w:rPr>
          <w:rFonts w:ascii="仿宋_GB2312" w:hAnsi="仿宋_GB2312" w:eastAsia="仿宋_GB2312"/>
          <w:sz w:val="32"/>
          <w:szCs w:val="32"/>
        </w:rPr>
        <w:t>月获</w:t>
      </w:r>
      <w:r>
        <w:rPr>
          <w:rFonts w:eastAsia="仿宋_GB2312" w:ascii="仿宋_GB2312" w:hAnsi="仿宋_GB2312"/>
          <w:sz w:val="32"/>
          <w:szCs w:val="32"/>
        </w:rPr>
        <w:t>1</w:t>
      </w:r>
      <w:r>
        <w:rPr>
          <w:rFonts w:ascii="仿宋_GB2312" w:hAnsi="仿宋_GB2312" w:eastAsia="仿宋_GB2312"/>
          <w:sz w:val="32"/>
          <w:szCs w:val="32"/>
        </w:rPr>
        <w:t>个表扬；共获得</w:t>
      </w:r>
      <w:r>
        <w:rPr>
          <w:rFonts w:eastAsia="仿宋_GB2312" w:ascii="仿宋_GB2312" w:hAnsi="仿宋_GB2312"/>
          <w:sz w:val="32"/>
          <w:szCs w:val="32"/>
        </w:rPr>
        <w:t>1</w:t>
      </w:r>
      <w:r>
        <w:rPr>
          <w:rFonts w:ascii="仿宋_GB2312" w:hAnsi="仿宋_GB2312" w:eastAsia="仿宋_GB2312"/>
          <w:sz w:val="32"/>
          <w:szCs w:val="32"/>
        </w:rPr>
        <w:t>个表扬。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违规及扣分情况：无。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从严情形：无。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检察机关审查意见：</w:t>
      </w:r>
      <w:r>
        <w:rPr>
          <w:rFonts w:ascii="仿宋_GB2312" w:hAnsi="仿宋_GB2312" w:eastAsia="仿宋_GB2312"/>
          <w:sz w:val="32"/>
          <w:u w:val="none" w:color="FFFFFF"/>
        </w:rPr>
        <w:t>经审查，我院认为，罪犯熊夏鑫符合提请减刑条件。未发现提请减刑建议不当，同意将案件交监狱长办公会审核。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综上所述，罪犯熊夏鑫在服刑改造期间，能认真遵守监规，接受教育改造，确有悔改表现。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为此，根据《中华人民共和国刑法》第七十八条第一款、第七十九条、《中华人民共和国刑事诉讼法》第二百七十三条、《中华人民共和国监狱法》第二十九条之规定，建议对罪犯熊夏鑫提请减去有期徒刑三个月，特提请裁定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此致</w:t>
      </w:r>
    </w:p>
    <w:p>
      <w:pPr>
        <w:pStyle w:val="Normal"/>
        <w:snapToGrid w:val="false"/>
        <w:spacing w:lineRule="exact" w:line="560"/>
        <w:rPr>
          <w:rFonts w:ascii="仿宋_GB2312" w:hAnsi="仿宋_GB2312" w:eastAsia="仿宋_GB2312"/>
          <w:sz w:val="32"/>
          <w:szCs w:val="32"/>
        </w:rPr>
      </w:pPr>
      <w:r>
        <w:drawing>
          <wp:anchor behindDoc="1" distT="0" distB="0" distL="0" distR="0" simplePos="0" locked="0" layoutInCell="1" allowOverlap="1" relativeHeight="2">
            <wp:simplePos x="0" y="0"/>
            <wp:positionH relativeFrom="column">
              <wp:posOffset>3587750</wp:posOffset>
            </wp:positionH>
            <wp:positionV relativeFrom="paragraph">
              <wp:posOffset>302260</wp:posOffset>
            </wp:positionV>
            <wp:extent cx="1511935" cy="1511935"/>
            <wp:effectExtent l="0" t="0" r="0" b="0"/>
            <wp:wrapNone/>
            <wp:docPr id="1" name="图片 1" descr="{{gz}}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{{gz}}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1935" cy="15119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仿宋_GB2312" w:hAnsi="仿宋_GB2312" w:eastAsia="仿宋_GB2312"/>
          <w:sz w:val="32"/>
          <w:szCs w:val="32"/>
        </w:rPr>
        <w:t>贵州省贵阳市中级人民法院</w:t>
      </w:r>
    </w:p>
    <w:p>
      <w:pPr>
        <w:pStyle w:val="Normal"/>
        <w:snapToGrid w:val="false"/>
        <w:spacing w:lineRule="exact" w:line="560"/>
        <w:rPr>
          <w:rFonts w:ascii="仿宋" w:hAnsi="仿宋" w:eastAsia="仿宋"/>
          <w:sz w:val="32"/>
          <w:szCs w:val="32"/>
        </w:rPr>
      </w:pPr>
      <w:r>
        <w:rPr>
          <w:rFonts w:eastAsia="仿宋" w:ascii="仿宋" w:hAnsi="仿宋"/>
          <w:sz w:val="32"/>
          <w:szCs w:val="32"/>
        </w:rPr>
      </w:r>
    </w:p>
    <w:p>
      <w:pPr>
        <w:pStyle w:val="Normal"/>
        <w:spacing w:lineRule="exact" w:line="560"/>
        <w:jc w:val="center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 xml:space="preserve">                               </w:t>
      </w:r>
      <w:r>
        <w:rPr>
          <w:rFonts w:ascii="仿宋_GB2312" w:hAnsi="仿宋_GB2312" w:eastAsia="仿宋_GB2312"/>
          <w:sz w:val="32"/>
          <w:szCs w:val="32"/>
        </w:rPr>
        <w:t>（公章）</w:t>
      </w:r>
    </w:p>
    <w:p>
      <w:pPr>
        <w:pStyle w:val="Normal"/>
        <w:snapToGrid w:val="false"/>
        <w:spacing w:lineRule="exact" w:line="560"/>
        <w:ind w:firstLine="5760"/>
        <w:rPr>
          <w:rFonts w:ascii="仿宋" w:hAnsi="仿宋" w:eastAsia="仿宋"/>
          <w:sz w:val="32"/>
          <w:szCs w:val="32"/>
        </w:rPr>
      </w:pPr>
      <w:r>
        <w:rPr>
          <w:rFonts w:eastAsia="仿宋_GB2312" w:ascii="仿宋_GB2312" w:hAnsi="仿宋_GB2312"/>
          <w:sz w:val="32"/>
          <w:szCs w:val="32"/>
        </w:rPr>
        <w:t>2026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1</w:t>
      </w:r>
      <w:r>
        <w:rPr>
          <w:rFonts w:ascii="仿宋_GB2312" w:hAnsi="仿宋_GB2312" w:eastAsia="仿宋_GB2312"/>
          <w:sz w:val="32"/>
          <w:szCs w:val="32"/>
        </w:rPr>
        <w:t>月</w:t>
      </w:r>
      <w:r>
        <w:rPr>
          <w:rFonts w:eastAsia="仿宋_GB2312" w:ascii="仿宋_GB2312" w:hAnsi="仿宋_GB2312"/>
          <w:sz w:val="32"/>
          <w:szCs w:val="32"/>
        </w:rPr>
        <w:t>4</w:t>
      </w:r>
      <w:r>
        <w:rPr>
          <w:rFonts w:ascii="仿宋_GB2312" w:hAnsi="仿宋_GB2312" w:eastAsia="仿宋_GB2312"/>
          <w:sz w:val="32"/>
          <w:szCs w:val="32"/>
        </w:rPr>
        <w:t>日</w:t>
      </w:r>
    </w:p>
    <w:sectPr>
      <w:type w:val="nextPage"/>
      <w:pgSz w:w="11906" w:h="16838"/>
      <w:pgMar w:left="1588" w:right="1474" w:gutter="0" w:header="0" w:top="2098" w:footer="0" w:bottom="1985"/>
      <w:paperSrc w:first="0" w:other="0"/>
      <w:pgNumType w:fmt="decimal"/>
      <w:formProt w:val="false"/>
      <w:textDirection w:val="lrTb"/>
      <w:docGrid w:type="lines" w:linePitch="312" w:charSpace="6143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DejaVu Serif">
    <w:charset w:val="01"/>
    <w:family w:val="roman"/>
    <w:pitch w:val="variable"/>
  </w:font>
  <w:font w:name="等线">
    <w:charset w:val="01"/>
    <w:family w:val="roman"/>
    <w:pitch w:val="variable"/>
  </w:font>
  <w:font w:name="仿宋">
    <w:charset w:val="01"/>
    <w:family w:val="roman"/>
    <w:pitch w:val="variable"/>
  </w:font>
  <w:font w:name="DejaVu Sans">
    <w:charset w:val="01"/>
    <w:family w:val="swiss"/>
    <w:pitch w:val="variable"/>
  </w:font>
  <w:font w:name="方正小标宋简体">
    <w:charset w:val="01"/>
    <w:family w:val="roman"/>
    <w:pitch w:val="variable"/>
  </w:font>
  <w:font w:name="仿宋_GB2312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420"/>
  <w:autoHyphenation w:val="true"/>
  <w:compat>
    <w:doNotExpandShiftReturn/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en-US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等线" w:hAnsi="等线" w:eastAsia="等线" w:cs="" w:asciiTheme="minorHAnsi" w:cstheme="minorBidi" w:eastAsiaTheme="minorEastAsia" w:hAnsiTheme="minorHAnsi"/>
        <w:kern w:val="2"/>
        <w:sz w:val="21"/>
        <w:szCs w:val="22"/>
        <w:lang w:val="en-US" w:eastAsia="zh-CN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 w:val="false"/>
      <w:bidi w:val="0"/>
      <w:spacing w:before="0" w:after="0"/>
      <w:jc w:val="both"/>
    </w:pPr>
    <w:rPr>
      <w:rFonts w:ascii="等线" w:hAnsi="等线" w:eastAsia="等线" w:cs="" w:asciiTheme="minorHAnsi" w:cstheme="minorBidi" w:eastAsiaTheme="minorEastAsia" w:hAnsiTheme="minorHAnsi"/>
      <w:color w:val="auto"/>
      <w:kern w:val="2"/>
      <w:sz w:val="21"/>
      <w:szCs w:val="22"/>
      <w:lang w:val="en-US" w:eastAsia="zh-CN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页眉 字符"/>
    <w:basedOn w:val="DefaultParagraphFont"/>
    <w:link w:val="Header"/>
    <w:uiPriority w:val="99"/>
    <w:qFormat/>
    <w:rsid w:val="00c915da"/>
    <w:rPr>
      <w:sz w:val="18"/>
      <w:szCs w:val="18"/>
    </w:rPr>
  </w:style>
  <w:style w:type="character" w:styleId="Style15" w:customStyle="1">
    <w:name w:val="页脚 字符"/>
    <w:basedOn w:val="DefaultParagraphFont"/>
    <w:link w:val="Footer"/>
    <w:uiPriority w:val="99"/>
    <w:qFormat/>
    <w:rsid w:val="00c915da"/>
    <w:rPr>
      <w:sz w:val="18"/>
      <w:szCs w:val="18"/>
    </w:rPr>
  </w:style>
  <w:style w:type="character" w:styleId="Style16" w:customStyle="1">
    <w:name w:val="称呼 字符"/>
    <w:basedOn w:val="DefaultParagraphFont"/>
    <w:uiPriority w:val="99"/>
    <w:qFormat/>
    <w:rsid w:val="00d57885"/>
    <w:rPr>
      <w:rFonts w:ascii="仿宋" w:hAnsi="仿宋" w:eastAsia="仿宋"/>
      <w:sz w:val="30"/>
      <w:szCs w:val="30"/>
    </w:rPr>
  </w:style>
  <w:style w:type="character" w:styleId="Style17" w:customStyle="1">
    <w:name w:val="结束语 字符"/>
    <w:basedOn w:val="DefaultParagraphFont"/>
    <w:link w:val="Closing"/>
    <w:uiPriority w:val="99"/>
    <w:qFormat/>
    <w:rsid w:val="00d57885"/>
    <w:rPr>
      <w:rFonts w:ascii="仿宋" w:hAnsi="仿宋" w:eastAsia="仿宋"/>
      <w:sz w:val="30"/>
      <w:szCs w:val="30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DejaVu Sans" w:hAnsi="DejaVu Sans" w:eastAsia="Microsoft YaHei" w:cs="WenQuanYi Zen Hei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WenQuanYi Zen He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WenQuanYi Zen He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WenQuanYi Zen Hei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link w:val="Style14"/>
    <w:uiPriority w:val="99"/>
    <w:unhideWhenUsed/>
    <w:rsid w:val="00c915da"/>
    <w:pPr>
      <w:pBdr>
        <w:bottom w:val="single" w:sz="6" w:space="1" w:color="000000"/>
      </w:pBdr>
      <w:tabs>
        <w:tab w:val="clear" w:pos="420"/>
        <w:tab w:val="center" w:pos="4153" w:leader="none"/>
        <w:tab w:val="right" w:pos="8306" w:leader="none"/>
      </w:tabs>
      <w:snapToGrid w:val="false"/>
      <w:jc w:val="center"/>
    </w:pPr>
    <w:rPr>
      <w:sz w:val="18"/>
      <w:szCs w:val="18"/>
    </w:rPr>
  </w:style>
  <w:style w:type="paragraph" w:styleId="Footer">
    <w:name w:val="Footer"/>
    <w:basedOn w:val="Normal"/>
    <w:link w:val="Style15"/>
    <w:uiPriority w:val="99"/>
    <w:unhideWhenUsed/>
    <w:rsid w:val="00c915da"/>
    <w:pPr>
      <w:tabs>
        <w:tab w:val="clear" w:pos="420"/>
        <w:tab w:val="center" w:pos="4153" w:leader="none"/>
        <w:tab w:val="right" w:pos="8306" w:leader="none"/>
      </w:tabs>
      <w:snapToGrid w:val="false"/>
      <w:jc w:val="left"/>
    </w:pPr>
    <w:rPr>
      <w:sz w:val="18"/>
      <w:szCs w:val="18"/>
    </w:rPr>
  </w:style>
  <w:style w:type="paragraph" w:styleId="Salutation">
    <w:name w:val="Salutation"/>
    <w:basedOn w:val="Normal"/>
    <w:next w:val="Normal"/>
    <w:link w:val="Style16"/>
    <w:uiPriority w:val="99"/>
    <w:unhideWhenUsed/>
    <w:rsid w:val="00d57885"/>
    <w:pPr/>
    <w:rPr>
      <w:rFonts w:ascii="仿宋" w:hAnsi="仿宋" w:eastAsia="仿宋"/>
      <w:sz w:val="30"/>
      <w:szCs w:val="30"/>
    </w:rPr>
  </w:style>
  <w:style w:type="paragraph" w:styleId="Closing">
    <w:name w:val="Closing"/>
    <w:basedOn w:val="Normal"/>
    <w:link w:val="Style17"/>
    <w:uiPriority w:val="99"/>
    <w:unhideWhenUsed/>
    <w:rsid w:val="00d57885"/>
    <w:pPr>
      <w:ind w:left="100"/>
    </w:pPr>
    <w:rPr>
      <w:rFonts w:ascii="仿宋" w:hAnsi="仿宋" w:eastAsia="仿宋"/>
      <w:sz w:val="30"/>
      <w:szCs w:val="3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b">
    <w:name w:val="Table Grid"/>
    <w:basedOn w:val="a1"/>
    <w:uiPriority w:val="39"/>
    <w:rsid w:val="001357d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主题​​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 pitchFamily="0" charset="1"/>
        <a:ea typeface=""/>
        <a:cs typeface=""/>
      </a:majorFont>
      <a:minorFont>
        <a:latin typeface="等线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Application>LibreOffice/24.2.7.2$Linux_X86_64 LibreOffice_project/420$Build-2</Application>
  <AppVersion>15.0000</AppVersion>
  <Pages>2</Pages>
  <Words>35</Words>
  <Characters>201</Characters>
  <CharactersWithSpaces>235</CharactersWithSpaces>
  <Paragraphs>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2022-10-06T01:49:00Z</dcterms:created>
  <dc:creator>曾 三</dc:creator>
  <dc:description/>
  <dc:language>zh-CN</dc:language>
  <cp:lastModifiedBy>三 曾</cp:lastModifiedBy>
  <dcterms:modified xsi:type="dcterms:W3CDTF">2025-11-18T08:43:00Z</dcterms:modified>
  <cp:revision>105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