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罪犯曹本霞，女，</w:t>
      </w:r>
      <w:r>
        <w:rPr>
          <w:rFonts w:eastAsia="仿宋_GB2312" w:ascii="仿宋_GB2312" w:hAnsi="仿宋_GB2312"/>
          <w:sz w:val="32"/>
          <w:szCs w:val="32"/>
        </w:rPr>
        <w:t>1970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日，贵州省遵义市红花岗区人民法院作出（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375</w:t>
      </w:r>
      <w:r>
        <w:rPr>
          <w:rFonts w:ascii="仿宋_GB2312" w:hAnsi="仿宋_GB2312" w:eastAsia="仿宋_GB2312"/>
          <w:sz w:val="32"/>
          <w:szCs w:val="32"/>
        </w:rPr>
        <w:t>号刑事判决，认定曹本霞犯贩卖毒品罪，判处有期徒刑九年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并处罚金人民币一万元，合并原贩卖毒品罪、非法持有毒品罪合并执行的有期徒刑三年二个月，并处罚金人民币四千元，决定执行有期徒刑十一年六个月，并处罚金人民币一万四千元。刑期自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一、认罪悔罪方面：罪犯曹本霞在服刑期间，能服从法院判决，认罪悔罪。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二、遵守法律法规及监规方面：罪犯曹本霞在服刑期间，基本能够遵守法律法规及监规纪律，服从管教。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14000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日，脱离联组联号到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号室，扣分</w:t>
      </w:r>
      <w:r>
        <w:rPr>
          <w:rFonts w:eastAsia="仿宋_GB2312" w:ascii="仿宋_GB2312" w:hAnsi="仿宋_GB2312"/>
          <w:sz w:val="32"/>
          <w:szCs w:val="32"/>
        </w:rPr>
        <w:t>10.00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该犯曾多次因吸食毒品被行政拘留、强制隔离戒毒、责令社区戒毒，又多次因毒品犯罪被判处刑罚，主观恶性较深，社会危害性较大，建议对其提请减刑</w:t>
      </w:r>
      <w:r>
        <w:rPr>
          <w:rFonts w:eastAsia="仿宋_GB2312" w:ascii="仿宋_GB2312" w:hAnsi="仿宋_GB2312"/>
          <w:sz w:val="32"/>
          <w:u w:val="none" w:color="FFFFFF"/>
        </w:rPr>
        <w:br/>
        <w:t xml:space="preserve">5 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综上所述，罪犯曹本霞自上次裁定减刑以来，能认真遵守监规，接受教育改造，确有悔改表现。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曹本霞提请减去有期徒刑五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