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罪犯黄发敏，女，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日生，汉族，初中文化贵州省龙里县人，现在贵州省第二女子监狱服刑。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日，贵州省龙里县人民法院作出（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号刑事判决，认定黄发敏敏犯抢劫罪，判处有期徒刑七年三个月，并处罚金人民币二万元；犯敲诈勒索罪，判处有期徒刑六个月，并处罚金人民币二千元；犯介绍卖淫罪，判处有期徒刑七个月，并处罚金人民币三千元；总和刑期八年四个月，数罪并罚，决定执行有期徒刑七年十个月，并处罚金人民币二万五千元；共同退赔人民币</w:t>
      </w:r>
      <w:r>
        <w:rPr>
          <w:rFonts w:eastAsia="仿宋_GB2312" w:ascii="仿宋_GB2312" w:hAnsi="仿宋_GB2312"/>
          <w:sz w:val="32"/>
          <w:szCs w:val="32"/>
        </w:rPr>
        <w:t>2900.00</w:t>
      </w:r>
      <w:r>
        <w:rPr>
          <w:rFonts w:ascii="仿宋_GB2312" w:hAnsi="仿宋_GB2312" w:eastAsia="仿宋_GB2312"/>
          <w:sz w:val="32"/>
          <w:szCs w:val="32"/>
        </w:rPr>
        <w:t>元。该犯不服，提出上诉，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67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日交付贵州省未成年犯管教所执行，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日调入贵州省第二女子监狱服刑改造。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一、认罪悔罪方面：罪犯黄发敏在服刑期间，能服从法院判决，认罪悔罪。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二、遵守法律法规及监规方面：罪犯黄发敏在服刑期间，认真遵守法律法规及监规纪律，服从管教。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2900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从严情形：介绍未成年人卖淫，对未成年人身心造成严重伤害。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经审查，我院认为，罪犯黄发敏符合提请减刑条件。未发现提请减刑建议不当，同意将案件交监狱长办公会审核。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综上所述，罪犯黄发敏在服刑改造期间，能认真遵守监规，接受教育改造，确有悔改表现。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发敏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