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罪犯刘换分，女，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日生，汉族，小学文化贵州省盘县人，现在贵州省第二女子监狱服刑。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日，贵州省贵阳市观山湖区人民法院作出（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458</w:t>
      </w:r>
      <w:r>
        <w:rPr>
          <w:rFonts w:ascii="仿宋_GB2312" w:hAnsi="仿宋_GB2312" w:eastAsia="仿宋_GB2312"/>
          <w:sz w:val="32"/>
          <w:szCs w:val="32"/>
        </w:rPr>
        <w:t>号刑事判决，认定刘换分犯贩卖毒品罪，判处有期徒刑十五年，并处没收个人财产人民币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694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一、认罪悔罪方面：罪犯刘换分在服刑期间，能服从法院判决，认罪悔罪。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二、遵守法律法规及监规方面：罪犯刘换分在服刑期间，认真遵守法律法规及监规纪律，服从管教。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从严情形：累犯、毒品再犯。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经审查，我院认为，罪犯刘换分符合提请减刑条件。未发现提请减刑建议不当，同意将案件交监狱长办公会审核。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综上所述，罪犯刘换分自上次裁定减刑以来，能认真遵守监规，接受教育改造，确有悔改表现。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换分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