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罪犯柏开秀，女，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日生，傣族，小学文化云南省河口瑶族自治县人，现在贵州省第二女子监狱服刑。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日，贵州省盘州市人民法院作出</w:t>
      </w:r>
      <w:r>
        <w:rPr>
          <w:rFonts w:eastAsia="仿宋_GB2312" w:ascii="仿宋_GB2312" w:hAnsi="仿宋_GB2312"/>
          <w:sz w:val="32"/>
          <w:szCs w:val="32"/>
        </w:rPr>
        <w:t xml:space="preserve">(2018)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400</w:t>
      </w:r>
      <w:r>
        <w:rPr>
          <w:rFonts w:ascii="仿宋_GB2312" w:hAnsi="仿宋_GB2312" w:eastAsia="仿宋_GB2312"/>
          <w:sz w:val="32"/>
          <w:szCs w:val="32"/>
        </w:rPr>
        <w:t>号刑事判决，认定柏开秀犯拐卖妇女罪，判处有期徒刑十四年（刑期自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80000.00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(2018)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293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日经贵州省贵阳市中级人民法院裁定减去有期徒刑四个月。（现刑期自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一、认罪悔罪方面：罪犯柏开秀在服刑期间，能服从法院判决，认罪悔罪。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二、遵守法律法规及监规方面：罪犯柏开秀在服刑期间，认真遵守法律法规及监规纪律，服从管教。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判决认定该犯系主犯，参与拐卖妇女</w:t>
      </w:r>
      <w:r>
        <w:rPr>
          <w:rFonts w:eastAsia="仿宋_GB2312" w:ascii="仿宋_GB2312" w:hAnsi="仿宋_GB2312"/>
          <w:sz w:val="32"/>
          <w:u w:val="none" w:color="FFFFFF"/>
        </w:rPr>
        <w:t>9</w:t>
      </w:r>
      <w:r>
        <w:rPr>
          <w:rFonts w:ascii="仿宋_GB2312" w:hAnsi="仿宋_GB2312" w:eastAsia="仿宋_GB2312"/>
          <w:sz w:val="32"/>
          <w:u w:val="none" w:color="FFFFFF"/>
        </w:rPr>
        <w:t>次</w:t>
      </w:r>
      <w:r>
        <w:rPr>
          <w:rFonts w:eastAsia="仿宋_GB2312" w:ascii="仿宋_GB2312" w:hAnsi="仿宋_GB2312"/>
          <w:sz w:val="32"/>
          <w:u w:val="none" w:color="FFFFFF"/>
        </w:rPr>
        <w:t>10</w:t>
      </w:r>
      <w:r>
        <w:rPr>
          <w:rFonts w:ascii="仿宋_GB2312" w:hAnsi="仿宋_GB2312" w:eastAsia="仿宋_GB2312"/>
          <w:sz w:val="32"/>
          <w:u w:val="none" w:color="FFFFFF"/>
        </w:rPr>
        <w:t>人，受害人众多，情节严重，社会危害性大，建议对其提请减刑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综上所述，罪犯柏开秀自上次裁定减刑以来，能认真遵守监规，接受教育改造，确有悔改表现。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柏开秀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