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44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罪犯邓申荣，女，</w:t>
      </w:r>
      <w:r>
        <w:rPr>
          <w:rFonts w:eastAsia="仿宋_GB2312" w:ascii="仿宋_GB2312" w:hAnsi="仿宋_GB2312"/>
          <w:sz w:val="32"/>
          <w:szCs w:val="32"/>
        </w:rPr>
        <w:t>1976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日生，汉族，初中文化云南省镇雄县人，现在贵州省第二女子监狱服刑。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日，贵州省黔西县人民法院作出</w:t>
      </w:r>
      <w:r>
        <w:rPr>
          <w:rFonts w:eastAsia="仿宋_GB2312" w:ascii="仿宋_GB2312" w:hAnsi="仿宋_GB2312"/>
          <w:sz w:val="32"/>
          <w:szCs w:val="32"/>
        </w:rPr>
        <w:t>(2019)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0522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186</w:t>
      </w:r>
      <w:r>
        <w:rPr>
          <w:rFonts w:ascii="仿宋_GB2312" w:hAnsi="仿宋_GB2312" w:eastAsia="仿宋_GB2312"/>
          <w:sz w:val="32"/>
          <w:szCs w:val="32"/>
        </w:rPr>
        <w:t>号刑事判决，认定邓申荣犯贩卖毒品罪，判处有期徒刑十二年（刑期自</w:t>
      </w: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日止），剥夺政治权利二年，没收个人财产人民币</w:t>
      </w:r>
      <w:r>
        <w:rPr>
          <w:rFonts w:eastAsia="仿宋_GB2312" w:ascii="仿宋_GB2312" w:hAnsi="仿宋_GB2312"/>
          <w:sz w:val="32"/>
          <w:szCs w:val="32"/>
        </w:rPr>
        <w:t>20000.00</w:t>
      </w:r>
      <w:r>
        <w:rPr>
          <w:rFonts w:ascii="仿宋_GB2312" w:hAnsi="仿宋_GB2312" w:eastAsia="仿宋_GB2312"/>
          <w:sz w:val="32"/>
          <w:szCs w:val="32"/>
        </w:rPr>
        <w:t>元。同案不服，提出上诉。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日，贵州省毕节市中级人民法院作出</w:t>
      </w:r>
      <w:r>
        <w:rPr>
          <w:rFonts w:eastAsia="仿宋_GB2312" w:ascii="仿宋_GB2312" w:hAnsi="仿宋_GB2312"/>
          <w:sz w:val="32"/>
          <w:szCs w:val="32"/>
        </w:rPr>
        <w:t>(2020)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05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35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日经贵州省贵阳市中级人民法院裁定减去有期徒刑九个月。（现刑期自</w:t>
      </w: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一、认罪悔罪方面：罪犯邓申荣在服刑期间，能服从法院判决，认罪悔罪。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二、遵守法律法规及监规方面：罪犯邓申荣在服刑期间，认真遵守法律法规及监规纪律，服从管教。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五、履行财产性判项方面：没收个人财产人民币</w:t>
      </w:r>
      <w:r>
        <w:rPr>
          <w:rFonts w:eastAsia="仿宋_GB2312" w:ascii="仿宋_GB2312" w:hAnsi="仿宋_GB2312"/>
          <w:sz w:val="32"/>
          <w:szCs w:val="32"/>
        </w:rPr>
        <w:t>20000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已全部执行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经审查，我院认为，罪犯邓申荣符合提请减刑条件。未发现提请减刑建议不当，同意将案件交监狱长办公会审核。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综上所述，罪犯邓申荣自上次裁定减刑以来，能认真遵守监规，接受教育改造，确有悔改表现。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邓申荣提请减去有期徒刑九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