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罪犯赵卫玲，女，</w:t>
      </w:r>
      <w:r>
        <w:rPr>
          <w:rFonts w:eastAsia="仿宋_GB2312" w:ascii="仿宋_GB2312" w:hAnsi="仿宋_GB2312"/>
          <w:sz w:val="32"/>
          <w:szCs w:val="32"/>
        </w:rPr>
        <w:t>1964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</w:t>
      </w:r>
      <w:r>
        <w:rPr>
          <w:rFonts w:eastAsia="仿宋_GB2312" w:ascii="仿宋_GB2312" w:hAnsi="仿宋_GB2312"/>
          <w:sz w:val="32"/>
          <w:szCs w:val="32"/>
        </w:rPr>
        <w:t>(2014)</w:t>
      </w:r>
      <w:r>
        <w:rPr>
          <w:rFonts w:ascii="仿宋_GB2312" w:hAnsi="仿宋_GB2312" w:eastAsia="仿宋_GB2312"/>
          <w:sz w:val="32"/>
          <w:szCs w:val="32"/>
        </w:rPr>
        <w:t>黔七刑初字第</w:t>
      </w:r>
      <w:r>
        <w:rPr>
          <w:rFonts w:eastAsia="仿宋_GB2312" w:ascii="仿宋_GB2312" w:hAnsi="仿宋_GB2312"/>
          <w:sz w:val="32"/>
          <w:szCs w:val="32"/>
        </w:rPr>
        <w:t>299</w:t>
      </w:r>
      <w:r>
        <w:rPr>
          <w:rFonts w:ascii="仿宋_GB2312" w:hAnsi="仿宋_GB2312" w:eastAsia="仿宋_GB2312"/>
          <w:sz w:val="32"/>
          <w:szCs w:val="32"/>
        </w:rPr>
        <w:t>号刑事判决，认定赵卫玲犯运输毒品罪，判处有期徒刑十五年（刑期自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日止），剥夺政治权利三年，没收个人财产人民币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</w:t>
      </w:r>
      <w:r>
        <w:rPr>
          <w:rFonts w:eastAsia="仿宋_GB2312" w:ascii="仿宋_GB2312" w:hAnsi="仿宋_GB2312"/>
          <w:sz w:val="32"/>
          <w:szCs w:val="32"/>
        </w:rPr>
        <w:t>(2014)</w:t>
      </w:r>
      <w:r>
        <w:rPr>
          <w:rFonts w:ascii="仿宋_GB2312" w:hAnsi="仿宋_GB2312" w:eastAsia="仿宋_GB2312"/>
          <w:sz w:val="32"/>
          <w:szCs w:val="32"/>
        </w:rPr>
        <w:t>黔毕中刑终字第</w:t>
      </w:r>
      <w:r>
        <w:rPr>
          <w:rFonts w:eastAsia="仿宋_GB2312" w:ascii="仿宋_GB2312" w:hAnsi="仿宋_GB2312"/>
          <w:sz w:val="32"/>
          <w:szCs w:val="32"/>
        </w:rPr>
        <w:t>339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日经贵州省贵阳市中级人民法院裁定减去有期徒刑三个月，剥夺政治权利三年；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日经贵州省贵阳市中级人民法院裁定减去有期徒刑七个月，剥夺政治权利三年；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日经贵州省贵阳市中级人民法院裁定减去有期徒刑六个月，剥夺政治权利三年。（现刑期自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一、认罪悔罪方面：罪犯赵卫玲在服刑期间，能服从法院判决，认罪悔罪。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二、遵守法律法规及监规方面：罪犯赵卫玲在服刑期间，基本遵守法律法规及监规纪律，服从管教。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3.09%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0.92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经审查，我院认为，罪犯赵卫玲符合提请减刑条件。未发现提请减刑建议不当，同意将案件交监狱长办公会审核。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综上所述，罪犯赵卫玲自上次裁定减刑以来，能认真遵守监规，接受教育改造，确有悔改表现。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卫玲提请减去有期徒刑七个月，剥夺政治权利三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