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72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罪犯唐亚双，女，</w:t>
      </w:r>
      <w:r>
        <w:rPr>
          <w:rFonts w:eastAsia="仿宋_GB2312" w:ascii="仿宋_GB2312" w:hAnsi="仿宋_GB2312"/>
          <w:sz w:val="32"/>
          <w:szCs w:val="32"/>
        </w:rPr>
        <w:t>1997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日生，汉族，中专文化云南省师宗县人，现在贵州省第二女子监狱服刑。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日，贵州省大方县人民法院作出（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0521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87</w:t>
      </w:r>
      <w:r>
        <w:rPr>
          <w:rFonts w:ascii="仿宋_GB2312" w:hAnsi="仿宋_GB2312" w:eastAsia="仿宋_GB2312"/>
          <w:sz w:val="32"/>
          <w:szCs w:val="32"/>
        </w:rPr>
        <w:t>号刑事判决，认定唐亚双犯组织卖淫罪，判处有期徒刑十年（刑期自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100000.00</w:t>
      </w:r>
      <w:r>
        <w:rPr>
          <w:rFonts w:ascii="仿宋_GB2312" w:hAnsi="仿宋_GB2312" w:eastAsia="仿宋_GB2312"/>
          <w:sz w:val="32"/>
          <w:szCs w:val="32"/>
        </w:rPr>
        <w:t>元。同案不服，提出上诉。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日，贵州省毕节市中级人民法院作出（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291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一、认罪悔罪方面：罪犯唐亚双在服刑期间，能服从法院判决，认罪悔罪。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二、遵守法律法规及监规方面：罪犯唐亚双在服刑期间，认真遵守法律法规及监规纪律，服从管教。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从严情形：该犯组织未成年人卖淫，对未成年人身心造成严重伤害。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经审查，我院认为，罪犯唐亚双符合提请减刑条件。未发现提请减刑建议不当，同意将案件交监狱长办公会审核。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综上所述，罪犯唐亚双在服刑改造期间，能认真遵守监规，接受教育改造，确有悔改表现。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唐亚双提请减去有期徒刑八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