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罪犯时远菊，女，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日生，汉族，初中文化贵州省惠水县人，现在贵州省第二女子监狱服刑。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日，贵州省三穗县人民法院作出（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号刑事判决，认定时远菊犯组织卖淫罪，判处有期徒刑十一年（刑期自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400000.00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73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一、认罪悔罪方面：罪犯时远菊在服刑期间，能服从法院判决，认罪悔罪。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二、遵守法律法规及监规方面：罪犯时远菊在服刑期间，基本遵守法律法规及监规纪律，服从管教。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部分缴纳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400000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日在劳动现场该犯使用手动裁布设备时违规操作导致食指破皮。扣分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从严情形：该犯组织未成年人卖淫，对未成年人身心造成严重伤害。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经审查，我院认为，罪犯时远菊符合提请减刑条件。未发现提请减刑建议不当，同意将案件交监狱长办公会审核。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综上所述，罪犯时远菊在服刑改造期间，能认真遵守监规，接受教育改造，确有悔改表现。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时远菊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