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贵州省第二女子监狱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黔二女监减字第</w:t>
      </w:r>
      <w:r>
        <w:rPr>
          <w:rFonts w:eastAsia="仿宋_GB2312" w:ascii="仿宋_GB2312" w:hAnsi="仿宋_GB2312"/>
          <w:sz w:val="32"/>
          <w:szCs w:val="32"/>
        </w:rPr>
        <w:t>75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罪犯杨天丽，女，</w:t>
      </w:r>
      <w:r>
        <w:rPr>
          <w:rFonts w:eastAsia="仿宋_GB2312" w:ascii="仿宋_GB2312" w:hAnsi="仿宋_GB2312"/>
          <w:sz w:val="32"/>
          <w:szCs w:val="32"/>
        </w:rPr>
        <w:t>1981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20</w:t>
      </w:r>
      <w:r>
        <w:rPr>
          <w:rFonts w:ascii="仿宋_GB2312" w:hAnsi="仿宋_GB2312" w:eastAsia="仿宋_GB2312"/>
          <w:sz w:val="32"/>
          <w:szCs w:val="32"/>
        </w:rPr>
        <w:t>日生，汉族，初中文化贵州省遵义市新蒲新区人，现在贵州省第二女子监狱服刑。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日，贵州省贵阳市花溪区人民法院作出</w:t>
      </w:r>
      <w:r>
        <w:rPr>
          <w:rFonts w:eastAsia="仿宋_GB2312" w:ascii="仿宋_GB2312" w:hAnsi="仿宋_GB2312"/>
          <w:sz w:val="32"/>
          <w:szCs w:val="32"/>
        </w:rPr>
        <w:t>(2021)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0111</w:t>
      </w:r>
      <w:r>
        <w:rPr>
          <w:rFonts w:ascii="仿宋_GB2312" w:hAnsi="仿宋_GB2312" w:eastAsia="仿宋_GB2312"/>
          <w:sz w:val="32"/>
          <w:szCs w:val="32"/>
        </w:rPr>
        <w:t>刑初</w:t>
      </w:r>
      <w:r>
        <w:rPr>
          <w:rFonts w:eastAsia="仿宋_GB2312" w:ascii="仿宋_GB2312" w:hAnsi="仿宋_GB2312"/>
          <w:sz w:val="32"/>
          <w:szCs w:val="32"/>
        </w:rPr>
        <w:t>457</w:t>
      </w:r>
      <w:r>
        <w:rPr>
          <w:rFonts w:ascii="仿宋_GB2312" w:hAnsi="仿宋_GB2312" w:eastAsia="仿宋_GB2312"/>
          <w:sz w:val="32"/>
          <w:szCs w:val="32"/>
        </w:rPr>
        <w:t>号刑事判决，认定杨天丽犯组织卖淫罪，判处有期徒刑十年六个月（刑期自</w:t>
      </w:r>
      <w:r>
        <w:rPr>
          <w:rFonts w:eastAsia="仿宋_GB2312" w:ascii="仿宋_GB2312" w:hAnsi="仿宋_GB2312"/>
          <w:sz w:val="32"/>
          <w:szCs w:val="32"/>
        </w:rPr>
        <w:t>2021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2031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日止），罚金人民币</w:t>
      </w:r>
      <w:r>
        <w:rPr>
          <w:rFonts w:eastAsia="仿宋_GB2312" w:ascii="仿宋_GB2312" w:hAnsi="仿宋_GB2312"/>
          <w:sz w:val="32"/>
          <w:szCs w:val="32"/>
        </w:rPr>
        <w:t>30000.00</w:t>
      </w:r>
      <w:r>
        <w:rPr>
          <w:rFonts w:ascii="仿宋_GB2312" w:hAnsi="仿宋_GB2312" w:eastAsia="仿宋_GB2312"/>
          <w:sz w:val="32"/>
          <w:szCs w:val="32"/>
        </w:rPr>
        <w:t>元。该犯不服，提出上诉。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26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</w:t>
      </w:r>
      <w:r>
        <w:rPr>
          <w:rFonts w:eastAsia="仿宋_GB2312" w:ascii="仿宋_GB2312" w:hAnsi="仿宋_GB2312"/>
          <w:sz w:val="32"/>
          <w:szCs w:val="32"/>
        </w:rPr>
        <w:t>(2022)</w:t>
      </w:r>
      <w:r>
        <w:rPr>
          <w:rFonts w:ascii="仿宋_GB2312" w:hAnsi="仿宋_GB2312" w:eastAsia="仿宋_GB2312"/>
          <w:sz w:val="32"/>
          <w:szCs w:val="32"/>
        </w:rPr>
        <w:t>黔</w:t>
      </w:r>
      <w:r>
        <w:rPr>
          <w:rFonts w:eastAsia="仿宋_GB2312" w:ascii="仿宋_GB2312" w:hAnsi="仿宋_GB2312"/>
          <w:sz w:val="32"/>
          <w:szCs w:val="32"/>
        </w:rPr>
        <w:t>01</w:t>
      </w:r>
      <w:r>
        <w:rPr>
          <w:rFonts w:ascii="仿宋_GB2312" w:hAnsi="仿宋_GB2312" w:eastAsia="仿宋_GB2312"/>
          <w:sz w:val="32"/>
          <w:szCs w:val="32"/>
        </w:rPr>
        <w:t>刑终</w:t>
      </w:r>
      <w:r>
        <w:rPr>
          <w:rFonts w:eastAsia="仿宋_GB2312" w:ascii="仿宋_GB2312" w:hAnsi="仿宋_GB2312"/>
          <w:sz w:val="32"/>
          <w:szCs w:val="32"/>
        </w:rPr>
        <w:t>155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判决发生法律效力后于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日交付贵州省第二女子监狱执行。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一、认罪悔罪方面：罪犯杨天丽在服刑期间，能服从法院判决，认罪悔罪。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二、遵守法律法规及监规方面：罪犯杨天丽在服刑期间，基本遵守法律法规及监规纪律，服从管教。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30000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已全部缴纳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月获表扬和物质奖励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次；共获得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13</w:t>
      </w:r>
      <w:r>
        <w:rPr>
          <w:rFonts w:ascii="仿宋_GB2312" w:hAnsi="仿宋_GB2312" w:eastAsia="仿宋_GB2312"/>
          <w:sz w:val="32"/>
          <w:szCs w:val="32"/>
        </w:rPr>
        <w:t>日杨天丽在生产过程中做脚叉定位出错，导致产品质量不达标，扣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日，罪犯杨天丽不按照工艺，造成</w:t>
      </w:r>
      <w:r>
        <w:rPr>
          <w:rFonts w:eastAsia="仿宋_GB2312" w:ascii="仿宋_GB2312" w:hAnsi="仿宋_GB2312"/>
          <w:sz w:val="32"/>
          <w:szCs w:val="32"/>
        </w:rPr>
        <w:t>126</w:t>
      </w:r>
      <w:r>
        <w:rPr>
          <w:rFonts w:ascii="仿宋_GB2312" w:hAnsi="仿宋_GB2312" w:eastAsia="仿宋_GB2312"/>
          <w:sz w:val="32"/>
          <w:szCs w:val="32"/>
        </w:rPr>
        <w:t>件产品质量不达标，情节严重，扣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日消极执行干警指令，未充分认识到自己的错误，扣</w:t>
      </w:r>
      <w:r>
        <w:rPr>
          <w:rFonts w:eastAsia="仿宋_GB2312" w:ascii="仿宋_GB2312" w:hAnsi="仿宋_GB2312"/>
          <w:sz w:val="32"/>
          <w:szCs w:val="32"/>
        </w:rPr>
        <w:t>8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2022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08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5</w:t>
      </w:r>
      <w:r>
        <w:rPr>
          <w:rFonts w:ascii="仿宋_GB2312" w:hAnsi="仿宋_GB2312" w:eastAsia="仿宋_GB2312"/>
          <w:sz w:val="32"/>
          <w:szCs w:val="32"/>
        </w:rPr>
        <w:t>月该犯因欠产扣分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次，共计</w:t>
      </w:r>
      <w:r>
        <w:rPr>
          <w:rFonts w:eastAsia="仿宋_GB2312" w:ascii="仿宋_GB2312" w:hAnsi="仿宋_GB2312"/>
          <w:sz w:val="32"/>
          <w:szCs w:val="32"/>
        </w:rPr>
        <w:t>57.91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经审查，我院认为，罪犯杨天丽符合提请减刑条件。未发现提请减刑建议不当，同意将案件交监狱长办公会审核。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综上所述，罪犯杨天丽在服刑改造期间，能认真遵守监规，接受教育改造，确有悔改表现。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杨天丽提请减去有期徒刑九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