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贵州省第一女子监狱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黔女一监死缓、无期减字第</w:t>
      </w:r>
      <w:r>
        <w:rPr>
          <w:rFonts w:eastAsia="仿宋_GB2312" w:ascii="仿宋_GB2312" w:hAnsi="仿宋_GB2312"/>
          <w:sz w:val="32"/>
          <w:szCs w:val="32"/>
        </w:rPr>
        <w:t>40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罪犯龙璨，女，</w:t>
      </w:r>
      <w:r>
        <w:rPr>
          <w:rFonts w:eastAsia="仿宋_GB2312" w:ascii="仿宋_GB2312" w:hAnsi="仿宋_GB2312"/>
          <w:sz w:val="32"/>
          <w:szCs w:val="32"/>
        </w:rPr>
        <w:t>1980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日生，汉族，专科文化贵州省六盘水市六枝特区人，现在贵州省第一女子监狱服刑。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日，贵州省六盘水市中级人民法院作出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号刑事判决，认定龙璨犯故意杀人罪，判处死刑、缓期二年执行（死刑考验期自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日止），剥夺政治权利终身。该犯不服，提出上诉。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日，贵州省高级人民法院作出</w:t>
      </w:r>
      <w:r>
        <w:rPr>
          <w:rFonts w:eastAsia="仿宋_GB2312" w:ascii="仿宋_GB2312" w:hAnsi="仿宋_GB2312"/>
          <w:sz w:val="32"/>
          <w:szCs w:val="32"/>
        </w:rPr>
        <w:t xml:space="preserve">(2023) </w:t>
      </w:r>
      <w:r>
        <w:rPr>
          <w:rFonts w:ascii="仿宋_GB2312" w:hAnsi="仿宋_GB2312" w:eastAsia="仿宋_GB2312"/>
          <w:sz w:val="32"/>
          <w:szCs w:val="32"/>
        </w:rPr>
        <w:t>黔刑终</w:t>
      </w:r>
      <w:r>
        <w:rPr>
          <w:rFonts w:eastAsia="仿宋_GB2312" w:ascii="仿宋_GB2312" w:hAnsi="仿宋_GB2312"/>
          <w:sz w:val="32"/>
          <w:szCs w:val="32"/>
        </w:rPr>
        <w:t>111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号刑事裁定，驳回上诉，维持原判。核准以故意杀人罪判处被告人龙璨死刑，缓期二年执行，剥夺政治权利终身的刑事裁定。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日交付贵州省第一女子监狱执行。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该犯在死刑缓期二年执行期间没有故意犯罪，具体事实如下：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一、认罪悔罪方面：罪犯龙璨在死刑缓期二年执行期间，服从法院判决，认罪悔罪，没有故意犯罪。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二、遵守法律法规及监规方面：罪犯龙璨在服刑期间，认真遵守法律法规及监规纪律，服从管教。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从严情形：犯故意杀人罪原判死刑、缓期二年执行。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经审查，我院认为，罪犯龙璨符合提请减刑条件。未发现提请减刑建议不当，同意将案件交监狱长办公会审核。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综上所述，罪犯龙璨在死刑缓期二年执行期间，认罪服法，没有故意犯罪。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五十条、《中华人民共和国刑事诉讼法》第二百六十一条、《中华人民共和国监狱法》第三十一条之规定，建议对罪犯龙璨提请死刑、缓期二年执行减为无期徒刑，剥夺政治权利终身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贵州省高级人民法院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