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4F4AF">
      <w:pPr>
        <w:pStyle w:val="12"/>
        <w:spacing w:line="360" w:lineRule="auto"/>
        <w:outlineLvl w:val="1"/>
        <w:rPr>
          <w:rFonts w:ascii="仿宋" w:hAnsi="仿宋" w:eastAsia="仿宋" w:cs="仿宋"/>
          <w:b/>
          <w:color w:val="auto"/>
          <w:sz w:val="28"/>
          <w:szCs w:val="28"/>
        </w:rPr>
      </w:pPr>
      <w:bookmarkStart w:id="0" w:name="_Toc7173"/>
      <w:r>
        <w:rPr>
          <w:rFonts w:hint="eastAsia" w:ascii="仿宋" w:hAnsi="仿宋" w:eastAsia="仿宋" w:cs="仿宋"/>
          <w:b/>
          <w:color w:val="auto"/>
          <w:sz w:val="28"/>
          <w:szCs w:val="28"/>
        </w:rPr>
        <w:t>附件1：评分细则表</w:t>
      </w:r>
      <w:bookmarkEnd w:id="0"/>
    </w:p>
    <w:p w14:paraId="090F43FD">
      <w:pPr>
        <w:autoSpaceDE w:val="0"/>
        <w:autoSpaceDN w:val="0"/>
        <w:adjustRightInd w:val="0"/>
        <w:spacing w:after="0" w:line="400" w:lineRule="exact"/>
        <w:ind w:firstLine="482" w:firstLineChars="200"/>
        <w:rPr>
          <w:rFonts w:ascii="仿宋" w:hAnsi="仿宋" w:eastAsia="仿宋" w:cs="仿宋"/>
          <w:b/>
          <w:sz w:val="24"/>
          <w:szCs w:val="24"/>
          <w:lang w:eastAsia="zh-CN"/>
        </w:rPr>
      </w:pPr>
      <w:r>
        <w:rPr>
          <w:rFonts w:hint="eastAsia" w:ascii="仿宋" w:hAnsi="仿宋" w:eastAsia="仿宋" w:cs="仿宋"/>
          <w:b/>
          <w:sz w:val="24"/>
          <w:szCs w:val="24"/>
          <w:lang w:eastAsia="zh-CN"/>
        </w:rPr>
        <w:t>（一）代理服务费报价评分（</w:t>
      </w:r>
      <w:r>
        <w:rPr>
          <w:rFonts w:hint="eastAsia" w:ascii="仿宋" w:hAnsi="仿宋" w:eastAsia="仿宋" w:cs="仿宋"/>
          <w:b/>
          <w:sz w:val="24"/>
          <w:szCs w:val="24"/>
          <w:lang w:val="en-US" w:eastAsia="zh-CN"/>
        </w:rPr>
        <w:t>2</w:t>
      </w:r>
      <w:r>
        <w:rPr>
          <w:rFonts w:hint="eastAsia" w:ascii="仿宋" w:hAnsi="仿宋" w:eastAsia="仿宋" w:cs="仿宋"/>
          <w:b/>
          <w:sz w:val="24"/>
          <w:szCs w:val="24"/>
          <w:lang w:eastAsia="zh-CN"/>
        </w:rPr>
        <w:t>0分）：</w:t>
      </w:r>
    </w:p>
    <w:p w14:paraId="543AF979">
      <w:pPr>
        <w:autoSpaceDE w:val="0"/>
        <w:autoSpaceDN w:val="0"/>
        <w:adjustRightInd w:val="0"/>
        <w:spacing w:after="0" w:line="400" w:lineRule="exact"/>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代理服务费报价即遴选单位所报代理服务费的标价，应按代理机构遴选公告</w:t>
      </w:r>
      <w:r>
        <w:rPr>
          <w:rFonts w:hint="eastAsia" w:ascii="宋体" w:hAnsi="宋体" w:cs="宋体"/>
          <w:b/>
          <w:sz w:val="24"/>
          <w:szCs w:val="24"/>
          <w:lang w:eastAsia="zh-CN"/>
        </w:rPr>
        <w:t>参照《贵州省物价局 贵州省住房和城乡建设厅关于降低部分建设项目收费标准规范收费行为等有关问题的通知》(黔价房〔2011〕69号)规定的“招标代理服务收费标准”</w:t>
      </w:r>
      <w:r>
        <w:rPr>
          <w:rFonts w:hint="eastAsia" w:ascii="仿宋" w:hAnsi="仿宋" w:eastAsia="仿宋" w:cs="仿宋"/>
          <w:sz w:val="24"/>
          <w:szCs w:val="24"/>
          <w:lang w:eastAsia="zh-CN"/>
        </w:rPr>
        <w:t>为依据规定的标准进行报价，不按此标准进行报价的代理服务文件，按无效标处理。</w:t>
      </w:r>
    </w:p>
    <w:p w14:paraId="41813413">
      <w:pPr>
        <w:autoSpaceDE w:val="0"/>
        <w:autoSpaceDN w:val="0"/>
        <w:adjustRightInd w:val="0"/>
        <w:spacing w:after="0" w:line="400" w:lineRule="exact"/>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报价得分评审标准：招标代理机构在此标准每下浮1%得3分，最高得</w:t>
      </w:r>
      <w:r>
        <w:rPr>
          <w:rFonts w:hint="eastAsia" w:ascii="仿宋" w:hAnsi="仿宋" w:eastAsia="仿宋" w:cs="仿宋"/>
          <w:sz w:val="24"/>
          <w:szCs w:val="24"/>
          <w:lang w:val="en-US" w:eastAsia="zh-CN"/>
        </w:rPr>
        <w:t>20</w:t>
      </w:r>
      <w:r>
        <w:rPr>
          <w:rFonts w:hint="eastAsia" w:ascii="仿宋" w:hAnsi="仿宋" w:eastAsia="仿宋" w:cs="仿宋"/>
          <w:sz w:val="24"/>
          <w:szCs w:val="24"/>
          <w:lang w:eastAsia="zh-CN"/>
        </w:rPr>
        <w:t>分，下浮超过10%的按10%计算，例：</w:t>
      </w:r>
    </w:p>
    <w:tbl>
      <w:tblPr>
        <w:tblStyle w:val="7"/>
        <w:tblW w:w="90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1455"/>
        <w:gridCol w:w="1470"/>
        <w:gridCol w:w="1995"/>
        <w:gridCol w:w="2717"/>
      </w:tblGrid>
      <w:tr w14:paraId="101C6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tcPr>
          <w:p w14:paraId="3CB23336">
            <w:pPr>
              <w:autoSpaceDE w:val="0"/>
              <w:autoSpaceDN w:val="0"/>
              <w:adjustRightInd w:val="0"/>
              <w:spacing w:after="0" w:line="400" w:lineRule="exact"/>
              <w:jc w:val="center"/>
              <w:rPr>
                <w:rFonts w:ascii="仿宋" w:hAnsi="仿宋" w:eastAsia="仿宋" w:cs="仿宋"/>
                <w:sz w:val="24"/>
                <w:szCs w:val="24"/>
                <w:lang w:eastAsia="zh-CN"/>
              </w:rPr>
            </w:pPr>
            <w:r>
              <w:rPr>
                <w:rFonts w:hint="eastAsia" w:ascii="仿宋" w:hAnsi="仿宋" w:eastAsia="仿宋" w:cs="仿宋"/>
                <w:sz w:val="24"/>
                <w:szCs w:val="24"/>
                <w:lang w:eastAsia="zh-CN"/>
              </w:rPr>
              <w:t>下浮1%</w:t>
            </w:r>
          </w:p>
        </w:tc>
        <w:tc>
          <w:tcPr>
            <w:tcW w:w="1455" w:type="dxa"/>
          </w:tcPr>
          <w:p w14:paraId="1A4912A5">
            <w:pPr>
              <w:autoSpaceDE w:val="0"/>
              <w:autoSpaceDN w:val="0"/>
              <w:adjustRightInd w:val="0"/>
              <w:spacing w:after="0" w:line="400" w:lineRule="exact"/>
              <w:jc w:val="center"/>
              <w:rPr>
                <w:rFonts w:ascii="仿宋" w:hAnsi="仿宋" w:eastAsia="仿宋" w:cs="仿宋"/>
                <w:sz w:val="24"/>
                <w:szCs w:val="24"/>
                <w:lang w:eastAsia="zh-CN"/>
              </w:rPr>
            </w:pPr>
            <w:r>
              <w:rPr>
                <w:rFonts w:hint="eastAsia" w:ascii="仿宋" w:hAnsi="仿宋" w:eastAsia="仿宋" w:cs="仿宋"/>
                <w:sz w:val="24"/>
                <w:szCs w:val="24"/>
                <w:lang w:eastAsia="zh-CN"/>
              </w:rPr>
              <w:t>下浮2%</w:t>
            </w:r>
          </w:p>
        </w:tc>
        <w:tc>
          <w:tcPr>
            <w:tcW w:w="1470" w:type="dxa"/>
          </w:tcPr>
          <w:p w14:paraId="57CB613F">
            <w:pPr>
              <w:autoSpaceDE w:val="0"/>
              <w:autoSpaceDN w:val="0"/>
              <w:adjustRightInd w:val="0"/>
              <w:spacing w:after="0" w:line="400" w:lineRule="exact"/>
              <w:jc w:val="center"/>
              <w:rPr>
                <w:rFonts w:ascii="仿宋" w:hAnsi="仿宋" w:eastAsia="仿宋" w:cs="仿宋"/>
                <w:sz w:val="24"/>
                <w:szCs w:val="24"/>
                <w:lang w:eastAsia="zh-CN"/>
              </w:rPr>
            </w:pPr>
            <w:r>
              <w:rPr>
                <w:rFonts w:hint="eastAsia" w:ascii="仿宋" w:hAnsi="仿宋" w:eastAsia="仿宋" w:cs="仿宋"/>
                <w:sz w:val="24"/>
                <w:szCs w:val="24"/>
                <w:lang w:eastAsia="zh-CN"/>
              </w:rPr>
              <w:t>下浮3%</w:t>
            </w:r>
          </w:p>
        </w:tc>
        <w:tc>
          <w:tcPr>
            <w:tcW w:w="1995" w:type="dxa"/>
          </w:tcPr>
          <w:p w14:paraId="2E2042AB">
            <w:pPr>
              <w:autoSpaceDE w:val="0"/>
              <w:autoSpaceDN w:val="0"/>
              <w:adjustRightInd w:val="0"/>
              <w:spacing w:after="0" w:line="400" w:lineRule="exact"/>
              <w:jc w:val="center"/>
              <w:rPr>
                <w:rFonts w:ascii="仿宋" w:hAnsi="仿宋" w:eastAsia="仿宋" w:cs="仿宋"/>
                <w:sz w:val="24"/>
                <w:szCs w:val="24"/>
                <w:lang w:eastAsia="zh-CN"/>
              </w:rPr>
            </w:pPr>
            <w:r>
              <w:rPr>
                <w:rFonts w:hint="eastAsia" w:ascii="仿宋" w:hAnsi="仿宋" w:eastAsia="仿宋" w:cs="仿宋"/>
                <w:sz w:val="24"/>
                <w:szCs w:val="24"/>
                <w:lang w:eastAsia="zh-CN"/>
              </w:rPr>
              <w:t>...</w:t>
            </w:r>
          </w:p>
        </w:tc>
        <w:tc>
          <w:tcPr>
            <w:tcW w:w="2717" w:type="dxa"/>
          </w:tcPr>
          <w:p w14:paraId="2ED8F05F">
            <w:pPr>
              <w:autoSpaceDE w:val="0"/>
              <w:autoSpaceDN w:val="0"/>
              <w:adjustRightInd w:val="0"/>
              <w:spacing w:after="0" w:line="400" w:lineRule="exact"/>
              <w:jc w:val="center"/>
              <w:rPr>
                <w:rFonts w:ascii="仿宋" w:hAnsi="仿宋" w:eastAsia="仿宋" w:cs="仿宋"/>
                <w:sz w:val="24"/>
                <w:szCs w:val="24"/>
                <w:lang w:eastAsia="zh-CN"/>
              </w:rPr>
            </w:pPr>
            <w:r>
              <w:rPr>
                <w:rFonts w:hint="eastAsia" w:ascii="仿宋" w:hAnsi="仿宋" w:eastAsia="仿宋" w:cs="仿宋"/>
                <w:sz w:val="24"/>
                <w:szCs w:val="24"/>
                <w:lang w:eastAsia="zh-CN"/>
              </w:rPr>
              <w:t>下浮10%及以上</w:t>
            </w:r>
          </w:p>
        </w:tc>
      </w:tr>
      <w:tr w14:paraId="29D36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tcPr>
          <w:p w14:paraId="6C71E0EF">
            <w:pPr>
              <w:autoSpaceDE w:val="0"/>
              <w:autoSpaceDN w:val="0"/>
              <w:adjustRightInd w:val="0"/>
              <w:spacing w:after="0" w:line="400" w:lineRule="exact"/>
              <w:jc w:val="center"/>
              <w:rPr>
                <w:rFonts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分</w:t>
            </w:r>
          </w:p>
        </w:tc>
        <w:tc>
          <w:tcPr>
            <w:tcW w:w="1455" w:type="dxa"/>
          </w:tcPr>
          <w:p w14:paraId="109FB8FF">
            <w:pPr>
              <w:autoSpaceDE w:val="0"/>
              <w:autoSpaceDN w:val="0"/>
              <w:adjustRightInd w:val="0"/>
              <w:spacing w:after="0" w:line="400" w:lineRule="exact"/>
              <w:jc w:val="center"/>
              <w:rPr>
                <w:rFonts w:ascii="仿宋" w:hAnsi="仿宋" w:eastAsia="仿宋" w:cs="仿宋"/>
                <w:sz w:val="24"/>
                <w:szCs w:val="24"/>
                <w:lang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分</w:t>
            </w:r>
          </w:p>
        </w:tc>
        <w:tc>
          <w:tcPr>
            <w:tcW w:w="1470" w:type="dxa"/>
          </w:tcPr>
          <w:p w14:paraId="643876C9">
            <w:pPr>
              <w:autoSpaceDE w:val="0"/>
              <w:autoSpaceDN w:val="0"/>
              <w:adjustRightInd w:val="0"/>
              <w:spacing w:after="0" w:line="400" w:lineRule="exact"/>
              <w:jc w:val="center"/>
              <w:rPr>
                <w:rFonts w:ascii="仿宋" w:hAnsi="仿宋" w:eastAsia="仿宋" w:cs="仿宋"/>
                <w:sz w:val="24"/>
                <w:szCs w:val="24"/>
                <w:lang w:eastAsia="zh-CN"/>
              </w:rPr>
            </w:pP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分</w:t>
            </w:r>
          </w:p>
        </w:tc>
        <w:tc>
          <w:tcPr>
            <w:tcW w:w="1995" w:type="dxa"/>
          </w:tcPr>
          <w:p w14:paraId="041A38C7">
            <w:pPr>
              <w:autoSpaceDE w:val="0"/>
              <w:autoSpaceDN w:val="0"/>
              <w:adjustRightInd w:val="0"/>
              <w:spacing w:after="0" w:line="400" w:lineRule="exact"/>
              <w:jc w:val="center"/>
              <w:rPr>
                <w:rFonts w:ascii="仿宋" w:hAnsi="仿宋" w:eastAsia="仿宋" w:cs="仿宋"/>
                <w:sz w:val="24"/>
                <w:szCs w:val="24"/>
                <w:lang w:eastAsia="zh-CN"/>
              </w:rPr>
            </w:pPr>
            <w:r>
              <w:rPr>
                <w:rFonts w:hint="eastAsia" w:ascii="仿宋" w:hAnsi="仿宋" w:eastAsia="仿宋" w:cs="仿宋"/>
                <w:sz w:val="24"/>
                <w:szCs w:val="24"/>
                <w:lang w:eastAsia="zh-CN"/>
              </w:rPr>
              <w:t>...</w:t>
            </w:r>
          </w:p>
        </w:tc>
        <w:tc>
          <w:tcPr>
            <w:tcW w:w="2717" w:type="dxa"/>
          </w:tcPr>
          <w:p w14:paraId="074D13E7">
            <w:pPr>
              <w:autoSpaceDE w:val="0"/>
              <w:autoSpaceDN w:val="0"/>
              <w:adjustRightInd w:val="0"/>
              <w:spacing w:after="0" w:line="400" w:lineRule="exact"/>
              <w:jc w:val="center"/>
              <w:rPr>
                <w:rFonts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0分</w:t>
            </w:r>
          </w:p>
        </w:tc>
      </w:tr>
      <w:tr w14:paraId="71EE0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tcPr>
          <w:p w14:paraId="440F2817">
            <w:pPr>
              <w:autoSpaceDE w:val="0"/>
              <w:autoSpaceDN w:val="0"/>
              <w:adjustRightInd w:val="0"/>
              <w:spacing w:after="0" w:line="400" w:lineRule="exact"/>
              <w:jc w:val="center"/>
              <w:rPr>
                <w:rFonts w:ascii="仿宋" w:hAnsi="仿宋" w:eastAsia="仿宋" w:cs="仿宋"/>
                <w:sz w:val="24"/>
                <w:szCs w:val="24"/>
                <w:lang w:eastAsia="zh-CN"/>
              </w:rPr>
            </w:pPr>
          </w:p>
        </w:tc>
        <w:tc>
          <w:tcPr>
            <w:tcW w:w="1455" w:type="dxa"/>
          </w:tcPr>
          <w:p w14:paraId="35980FFD">
            <w:pPr>
              <w:autoSpaceDE w:val="0"/>
              <w:autoSpaceDN w:val="0"/>
              <w:adjustRightInd w:val="0"/>
              <w:spacing w:after="0" w:line="400" w:lineRule="exact"/>
              <w:jc w:val="center"/>
              <w:rPr>
                <w:rFonts w:ascii="仿宋" w:hAnsi="仿宋" w:eastAsia="仿宋" w:cs="仿宋"/>
                <w:sz w:val="24"/>
                <w:szCs w:val="24"/>
                <w:lang w:eastAsia="zh-CN"/>
              </w:rPr>
            </w:pPr>
          </w:p>
        </w:tc>
        <w:tc>
          <w:tcPr>
            <w:tcW w:w="1470" w:type="dxa"/>
          </w:tcPr>
          <w:p w14:paraId="4766BA0D">
            <w:pPr>
              <w:autoSpaceDE w:val="0"/>
              <w:autoSpaceDN w:val="0"/>
              <w:adjustRightInd w:val="0"/>
              <w:spacing w:after="0" w:line="400" w:lineRule="exact"/>
              <w:jc w:val="center"/>
              <w:rPr>
                <w:rFonts w:ascii="仿宋" w:hAnsi="仿宋" w:eastAsia="仿宋" w:cs="仿宋"/>
                <w:sz w:val="24"/>
                <w:szCs w:val="24"/>
                <w:lang w:eastAsia="zh-CN"/>
              </w:rPr>
            </w:pPr>
          </w:p>
        </w:tc>
        <w:tc>
          <w:tcPr>
            <w:tcW w:w="1995" w:type="dxa"/>
          </w:tcPr>
          <w:p w14:paraId="6DCAF4AE">
            <w:pPr>
              <w:autoSpaceDE w:val="0"/>
              <w:autoSpaceDN w:val="0"/>
              <w:adjustRightInd w:val="0"/>
              <w:spacing w:after="0" w:line="400" w:lineRule="exact"/>
              <w:jc w:val="center"/>
              <w:rPr>
                <w:rFonts w:ascii="仿宋" w:hAnsi="仿宋" w:eastAsia="仿宋" w:cs="仿宋"/>
                <w:sz w:val="24"/>
                <w:szCs w:val="24"/>
                <w:lang w:eastAsia="zh-CN"/>
              </w:rPr>
            </w:pPr>
          </w:p>
        </w:tc>
        <w:tc>
          <w:tcPr>
            <w:tcW w:w="2717" w:type="dxa"/>
          </w:tcPr>
          <w:p w14:paraId="38425A1D">
            <w:pPr>
              <w:autoSpaceDE w:val="0"/>
              <w:autoSpaceDN w:val="0"/>
              <w:adjustRightInd w:val="0"/>
              <w:spacing w:after="0" w:line="400" w:lineRule="exact"/>
              <w:jc w:val="center"/>
              <w:rPr>
                <w:rFonts w:ascii="仿宋" w:hAnsi="仿宋" w:eastAsia="仿宋" w:cs="仿宋"/>
                <w:sz w:val="24"/>
                <w:szCs w:val="24"/>
                <w:lang w:eastAsia="zh-CN"/>
              </w:rPr>
            </w:pPr>
          </w:p>
        </w:tc>
      </w:tr>
    </w:tbl>
    <w:p w14:paraId="32B3B58A">
      <w:pPr>
        <w:numPr>
          <w:ilvl w:val="0"/>
          <w:numId w:val="1"/>
        </w:numPr>
        <w:autoSpaceDE w:val="0"/>
        <w:autoSpaceDN w:val="0"/>
        <w:adjustRightInd w:val="0"/>
        <w:spacing w:after="0" w:line="400" w:lineRule="exact"/>
        <w:ind w:firstLine="281"/>
        <w:rPr>
          <w:rFonts w:ascii="仿宋" w:hAnsi="仿宋" w:eastAsia="仿宋" w:cs="仿宋"/>
          <w:b/>
          <w:sz w:val="24"/>
          <w:szCs w:val="24"/>
          <w:lang w:eastAsia="zh-CN"/>
        </w:rPr>
      </w:pPr>
      <w:r>
        <w:rPr>
          <w:rFonts w:hint="eastAsia" w:ascii="仿宋" w:hAnsi="仿宋" w:eastAsia="仿宋" w:cs="仿宋"/>
          <w:b/>
          <w:sz w:val="24"/>
          <w:szCs w:val="24"/>
          <w:lang w:eastAsia="zh-CN"/>
        </w:rPr>
        <w:t>综合实力评分（</w:t>
      </w:r>
      <w:r>
        <w:rPr>
          <w:rFonts w:hint="eastAsia" w:ascii="仿宋" w:hAnsi="仿宋" w:eastAsia="仿宋" w:cs="仿宋"/>
          <w:b/>
          <w:sz w:val="24"/>
          <w:szCs w:val="24"/>
          <w:lang w:val="en-US" w:eastAsia="zh-CN"/>
        </w:rPr>
        <w:t>8</w:t>
      </w:r>
      <w:bookmarkStart w:id="2" w:name="_GoBack"/>
      <w:bookmarkEnd w:id="2"/>
      <w:r>
        <w:rPr>
          <w:rFonts w:hint="eastAsia" w:ascii="仿宋" w:hAnsi="仿宋" w:eastAsia="仿宋" w:cs="仿宋"/>
          <w:b/>
          <w:sz w:val="24"/>
          <w:szCs w:val="24"/>
          <w:lang w:eastAsia="zh-CN"/>
        </w:rPr>
        <w:t>0分）：</w:t>
      </w:r>
    </w:p>
    <w:p w14:paraId="09C38574">
      <w:pPr>
        <w:pStyle w:val="3"/>
        <w:ind w:firstLine="480"/>
        <w:rPr>
          <w:rFonts w:ascii="仿宋" w:hAnsi="仿宋" w:eastAsia="仿宋" w:cs="仿宋"/>
          <w:sz w:val="24"/>
          <w:szCs w:val="24"/>
          <w:lang w:eastAsia="zh-CN"/>
        </w:rPr>
      </w:pPr>
      <w:bookmarkStart w:id="1" w:name="OLE_LINK5"/>
    </w:p>
    <w:tbl>
      <w:tblPr>
        <w:tblStyle w:val="6"/>
        <w:tblW w:w="48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1468"/>
        <w:gridCol w:w="967"/>
        <w:gridCol w:w="5176"/>
      </w:tblGrid>
      <w:tr w14:paraId="44F51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8" w:type="pct"/>
            <w:vAlign w:val="center"/>
          </w:tcPr>
          <w:p w14:paraId="00E67798">
            <w:pPr>
              <w:widowControl/>
              <w:spacing w:line="46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序号</w:t>
            </w:r>
          </w:p>
        </w:tc>
        <w:tc>
          <w:tcPr>
            <w:tcW w:w="882" w:type="pct"/>
            <w:vAlign w:val="center"/>
          </w:tcPr>
          <w:p w14:paraId="4AFFA966">
            <w:pPr>
              <w:widowControl/>
              <w:spacing w:line="46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评分因素</w:t>
            </w:r>
          </w:p>
        </w:tc>
        <w:tc>
          <w:tcPr>
            <w:tcW w:w="581" w:type="pct"/>
            <w:noWrap/>
            <w:vAlign w:val="center"/>
          </w:tcPr>
          <w:p w14:paraId="5F0D9F56">
            <w:pPr>
              <w:widowControl/>
              <w:spacing w:line="460" w:lineRule="exact"/>
              <w:jc w:val="center"/>
              <w:rPr>
                <w:rFonts w:ascii="仿宋" w:hAnsi="仿宋" w:eastAsia="仿宋" w:cs="仿宋"/>
                <w:color w:val="000000"/>
                <w:sz w:val="24"/>
                <w:szCs w:val="24"/>
                <w:lang w:eastAsia="zh-CN"/>
              </w:rPr>
            </w:pPr>
            <w:r>
              <w:rPr>
                <w:rFonts w:hint="eastAsia" w:ascii="仿宋" w:hAnsi="仿宋" w:eastAsia="仿宋" w:cs="仿宋"/>
                <w:color w:val="000000"/>
                <w:sz w:val="24"/>
                <w:szCs w:val="24"/>
                <w:lang w:eastAsia="zh-CN"/>
              </w:rPr>
              <w:t>分值</w:t>
            </w:r>
          </w:p>
        </w:tc>
        <w:tc>
          <w:tcPr>
            <w:tcW w:w="3109" w:type="pct"/>
            <w:vAlign w:val="center"/>
          </w:tcPr>
          <w:p w14:paraId="42E80145">
            <w:pPr>
              <w:widowControl/>
              <w:spacing w:line="46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评分标准</w:t>
            </w:r>
          </w:p>
        </w:tc>
      </w:tr>
      <w:tr w14:paraId="5BC8A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428" w:type="pct"/>
            <w:noWrap/>
            <w:vAlign w:val="center"/>
          </w:tcPr>
          <w:p w14:paraId="72329D48">
            <w:pPr>
              <w:widowControl/>
              <w:spacing w:line="460" w:lineRule="exact"/>
              <w:jc w:val="center"/>
              <w:rPr>
                <w:rFonts w:ascii="仿宋" w:hAnsi="仿宋" w:eastAsia="仿宋" w:cs="仿宋"/>
                <w:color w:val="000000"/>
                <w:sz w:val="24"/>
                <w:szCs w:val="24"/>
                <w:lang w:eastAsia="zh-CN"/>
              </w:rPr>
            </w:pPr>
            <w:r>
              <w:rPr>
                <w:rFonts w:hint="eastAsia" w:ascii="仿宋" w:hAnsi="仿宋" w:eastAsia="仿宋" w:cs="仿宋"/>
                <w:color w:val="000000"/>
                <w:sz w:val="24"/>
                <w:szCs w:val="24"/>
                <w:lang w:eastAsia="zh-CN"/>
              </w:rPr>
              <w:t>1</w:t>
            </w:r>
          </w:p>
        </w:tc>
        <w:tc>
          <w:tcPr>
            <w:tcW w:w="882" w:type="pct"/>
            <w:vAlign w:val="center"/>
          </w:tcPr>
          <w:p w14:paraId="143C2378">
            <w:pPr>
              <w:widowControl/>
              <w:spacing w:line="46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招标代理</w:t>
            </w:r>
            <w:r>
              <w:rPr>
                <w:rFonts w:hint="eastAsia" w:ascii="仿宋" w:hAnsi="仿宋" w:eastAsia="仿宋" w:cs="仿宋"/>
                <w:color w:val="000000"/>
                <w:sz w:val="24"/>
                <w:szCs w:val="24"/>
                <w:lang w:eastAsia="zh-CN"/>
              </w:rPr>
              <w:t>服务</w:t>
            </w:r>
            <w:r>
              <w:rPr>
                <w:rFonts w:hint="eastAsia" w:ascii="仿宋" w:hAnsi="仿宋" w:eastAsia="仿宋" w:cs="仿宋"/>
                <w:color w:val="000000"/>
                <w:sz w:val="24"/>
                <w:szCs w:val="24"/>
              </w:rPr>
              <w:t>方案</w:t>
            </w:r>
          </w:p>
        </w:tc>
        <w:tc>
          <w:tcPr>
            <w:tcW w:w="581" w:type="pct"/>
            <w:noWrap/>
            <w:vAlign w:val="center"/>
          </w:tcPr>
          <w:p w14:paraId="43DAC856">
            <w:pPr>
              <w:widowControl/>
              <w:spacing w:line="460" w:lineRule="exact"/>
              <w:jc w:val="center"/>
              <w:rPr>
                <w:rFonts w:ascii="仿宋" w:hAnsi="仿宋" w:eastAsia="仿宋" w:cs="仿宋"/>
                <w:color w:val="000000"/>
                <w:sz w:val="24"/>
                <w:szCs w:val="24"/>
                <w:lang w:eastAsia="zh-CN"/>
              </w:rPr>
            </w:pPr>
            <w:r>
              <w:rPr>
                <w:rFonts w:hint="eastAsia" w:ascii="仿宋" w:hAnsi="仿宋" w:eastAsia="仿宋" w:cs="仿宋"/>
                <w:color w:val="000000"/>
                <w:sz w:val="24"/>
                <w:szCs w:val="24"/>
                <w:lang w:eastAsia="zh-CN"/>
              </w:rPr>
              <w:t>20分</w:t>
            </w:r>
          </w:p>
        </w:tc>
        <w:tc>
          <w:tcPr>
            <w:tcW w:w="3109" w:type="pct"/>
            <w:vAlign w:val="center"/>
          </w:tcPr>
          <w:p w14:paraId="6E77044F">
            <w:pPr>
              <w:widowControl/>
              <w:spacing w:line="460" w:lineRule="exact"/>
              <w:rPr>
                <w:rFonts w:ascii="仿宋" w:hAnsi="仿宋" w:eastAsia="仿宋" w:cs="仿宋"/>
                <w:color w:val="000000"/>
                <w:sz w:val="24"/>
                <w:szCs w:val="24"/>
                <w:lang w:eastAsia="zh-CN"/>
              </w:rPr>
            </w:pPr>
            <w:r>
              <w:rPr>
                <w:rFonts w:hint="eastAsia" w:ascii="仿宋" w:hAnsi="仿宋" w:eastAsia="仿宋" w:cs="仿宋"/>
                <w:color w:val="000000"/>
                <w:sz w:val="24"/>
                <w:szCs w:val="24"/>
                <w:lang w:eastAsia="zh-CN"/>
              </w:rPr>
              <w:t>服务方案包含但不仅限于代理项目工作流程、项目实施进度、公司内控管理、服务态度、服务质量、专业能力、处理质疑投诉举报措施、跟踪回访等内容。服务方案篇幅不超过A4幅面20页。</w:t>
            </w:r>
          </w:p>
          <w:p w14:paraId="32D7FD7E">
            <w:pPr>
              <w:widowControl/>
              <w:spacing w:line="460" w:lineRule="exact"/>
              <w:rPr>
                <w:rFonts w:ascii="仿宋" w:hAnsi="仿宋" w:eastAsia="仿宋" w:cs="仿宋"/>
                <w:color w:val="000000"/>
                <w:sz w:val="24"/>
                <w:szCs w:val="24"/>
                <w:lang w:eastAsia="zh-CN"/>
              </w:rPr>
            </w:pPr>
            <w:r>
              <w:rPr>
                <w:rFonts w:hint="eastAsia" w:ascii="仿宋" w:hAnsi="仿宋" w:eastAsia="仿宋" w:cs="仿宋"/>
                <w:color w:val="000000"/>
                <w:sz w:val="24"/>
                <w:szCs w:val="24"/>
                <w:lang w:eastAsia="zh-CN"/>
              </w:rPr>
              <w:t>1）服务方案内容详尽，涵盖所有关键领域，具体措施明确，对代理工作内容及流程充分了解、能准确把握项目定位，对服务内容、操作、实施和管理有全面周到的考虑和安排，方案详尽、全面的得15-20分;</w:t>
            </w:r>
          </w:p>
          <w:p w14:paraId="23C0D8A8">
            <w:pPr>
              <w:widowControl/>
              <w:spacing w:line="460" w:lineRule="exact"/>
              <w:rPr>
                <w:rFonts w:ascii="仿宋" w:hAnsi="仿宋" w:eastAsia="仿宋" w:cs="仿宋"/>
                <w:color w:val="000000"/>
                <w:sz w:val="24"/>
                <w:szCs w:val="24"/>
                <w:lang w:eastAsia="zh-CN"/>
              </w:rPr>
            </w:pPr>
            <w:r>
              <w:rPr>
                <w:rFonts w:hint="eastAsia" w:ascii="仿宋" w:hAnsi="仿宋" w:eastAsia="仿宋" w:cs="仿宋"/>
                <w:color w:val="000000"/>
                <w:sz w:val="24"/>
                <w:szCs w:val="24"/>
                <w:lang w:eastAsia="zh-CN"/>
              </w:rPr>
              <w:t>2）服务方案内容基本完整，涵盖主要领域，但在细节和具体措施上有所欠缺，对代理工作背景有一定的了解，对项目服务内容、操作、实施和管理有一定想法，但与服务需求有一定出入的得6-14分;</w:t>
            </w:r>
          </w:p>
          <w:p w14:paraId="24147A82">
            <w:pPr>
              <w:widowControl/>
              <w:spacing w:line="460" w:lineRule="exact"/>
              <w:rPr>
                <w:rFonts w:ascii="仿宋" w:hAnsi="仿宋" w:eastAsia="仿宋" w:cs="仿宋"/>
                <w:color w:val="000000"/>
                <w:sz w:val="24"/>
                <w:szCs w:val="24"/>
                <w:lang w:eastAsia="zh-CN"/>
              </w:rPr>
            </w:pPr>
            <w:r>
              <w:rPr>
                <w:rFonts w:hint="eastAsia" w:ascii="仿宋" w:hAnsi="仿宋" w:eastAsia="仿宋" w:cs="仿宋"/>
                <w:color w:val="000000"/>
                <w:sz w:val="24"/>
                <w:szCs w:val="24"/>
                <w:lang w:eastAsia="zh-CN"/>
              </w:rPr>
              <w:t>3）服务方案内容不完整，缺乏关键领域的覆盖或具体措施，对项目的基本情况和服务内容不够了解，对项目定位、服务内容、操作、实施和管理的构想不全面，与服务需求有较大出得0-4分。</w:t>
            </w:r>
          </w:p>
          <w:p w14:paraId="6D2E4CAC">
            <w:pPr>
              <w:pStyle w:val="2"/>
            </w:pPr>
            <w:r>
              <w:rPr>
                <w:rFonts w:hint="eastAsia" w:ascii="仿宋" w:hAnsi="仿宋" w:eastAsia="仿宋" w:cs="仿宋"/>
                <w:b w:val="0"/>
                <w:color w:val="000000"/>
                <w:sz w:val="24"/>
                <w:szCs w:val="24"/>
              </w:rPr>
              <w:t>4</w:t>
            </w:r>
            <w:r>
              <w:rPr>
                <w:rFonts w:hint="eastAsia" w:ascii="仿宋" w:hAnsi="仿宋" w:eastAsia="仿宋" w:cs="仿宋"/>
                <w:b w:val="0"/>
                <w:color w:val="000000"/>
                <w:sz w:val="24"/>
                <w:szCs w:val="24"/>
                <w:lang w:eastAsia="zh-CN"/>
              </w:rPr>
              <w:t>）</w:t>
            </w:r>
            <w:r>
              <w:rPr>
                <w:rFonts w:hint="eastAsia" w:ascii="仿宋" w:hAnsi="仿宋" w:eastAsia="仿宋" w:cs="仿宋"/>
                <w:b w:val="0"/>
                <w:color w:val="000000"/>
                <w:sz w:val="24"/>
                <w:szCs w:val="24"/>
              </w:rPr>
              <w:t>未提供方案的不得分。</w:t>
            </w:r>
          </w:p>
        </w:tc>
      </w:tr>
      <w:tr w14:paraId="007B2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8" w:type="pct"/>
            <w:noWrap/>
            <w:vAlign w:val="center"/>
          </w:tcPr>
          <w:p w14:paraId="3387DD1F">
            <w:pPr>
              <w:widowControl/>
              <w:spacing w:line="460" w:lineRule="exact"/>
              <w:jc w:val="center"/>
              <w:rPr>
                <w:rFonts w:ascii="仿宋" w:hAnsi="仿宋" w:eastAsia="仿宋" w:cs="仿宋"/>
                <w:color w:val="000000"/>
                <w:sz w:val="24"/>
                <w:szCs w:val="24"/>
                <w:lang w:eastAsia="zh-CN"/>
              </w:rPr>
            </w:pPr>
            <w:r>
              <w:rPr>
                <w:rFonts w:hint="eastAsia" w:ascii="仿宋" w:hAnsi="仿宋" w:eastAsia="仿宋" w:cs="仿宋"/>
                <w:color w:val="000000"/>
                <w:sz w:val="24"/>
                <w:szCs w:val="24"/>
                <w:lang w:eastAsia="zh-CN"/>
              </w:rPr>
              <w:t>2</w:t>
            </w:r>
          </w:p>
        </w:tc>
        <w:tc>
          <w:tcPr>
            <w:tcW w:w="882" w:type="pct"/>
            <w:vAlign w:val="center"/>
          </w:tcPr>
          <w:p w14:paraId="3EA6F6D0">
            <w:pPr>
              <w:widowControl/>
              <w:spacing w:line="460" w:lineRule="exact"/>
              <w:jc w:val="center"/>
              <w:rPr>
                <w:rFonts w:ascii="仿宋" w:hAnsi="仿宋" w:eastAsia="仿宋" w:cs="仿宋"/>
                <w:color w:val="000000"/>
                <w:sz w:val="24"/>
                <w:szCs w:val="24"/>
              </w:rPr>
            </w:pPr>
            <w:r>
              <w:rPr>
                <w:rFonts w:hint="eastAsia" w:ascii="仿宋" w:hAnsi="仿宋" w:eastAsia="仿宋" w:cs="仿宋"/>
                <w:color w:val="000000"/>
                <w:sz w:val="24"/>
                <w:szCs w:val="24"/>
                <w:lang w:eastAsia="zh-CN"/>
              </w:rPr>
              <w:t>项目负责人</w:t>
            </w:r>
          </w:p>
        </w:tc>
        <w:tc>
          <w:tcPr>
            <w:tcW w:w="581" w:type="pct"/>
            <w:noWrap/>
            <w:vAlign w:val="center"/>
          </w:tcPr>
          <w:p w14:paraId="7078FBDC">
            <w:pPr>
              <w:widowControl/>
              <w:spacing w:line="460" w:lineRule="exact"/>
              <w:jc w:val="center"/>
              <w:rPr>
                <w:rFonts w:ascii="仿宋" w:hAnsi="仿宋" w:eastAsia="仿宋" w:cs="仿宋"/>
                <w:color w:val="000000"/>
                <w:sz w:val="24"/>
                <w:szCs w:val="24"/>
                <w:lang w:eastAsia="zh-CN"/>
              </w:rPr>
            </w:pPr>
            <w:r>
              <w:rPr>
                <w:rFonts w:hint="eastAsia" w:ascii="仿宋" w:hAnsi="仿宋" w:eastAsia="仿宋" w:cs="仿宋"/>
                <w:color w:val="000000"/>
                <w:sz w:val="24"/>
                <w:szCs w:val="24"/>
                <w:lang w:eastAsia="zh-CN"/>
              </w:rPr>
              <w:t>15分</w:t>
            </w:r>
          </w:p>
        </w:tc>
        <w:tc>
          <w:tcPr>
            <w:tcW w:w="3109" w:type="pct"/>
            <w:vAlign w:val="center"/>
          </w:tcPr>
          <w:p w14:paraId="25C5071E">
            <w:pPr>
              <w:widowControl/>
              <w:spacing w:line="460" w:lineRule="exact"/>
              <w:rPr>
                <w:rFonts w:ascii="仿宋" w:hAnsi="仿宋" w:eastAsia="仿宋" w:cs="仿宋"/>
                <w:color w:val="000000"/>
                <w:sz w:val="24"/>
                <w:szCs w:val="24"/>
                <w:lang w:eastAsia="zh-CN"/>
              </w:rPr>
            </w:pPr>
            <w:r>
              <w:rPr>
                <w:rFonts w:hint="eastAsia" w:ascii="仿宋" w:hAnsi="仿宋" w:eastAsia="仿宋" w:cs="仿宋"/>
                <w:color w:val="000000"/>
                <w:sz w:val="24"/>
                <w:szCs w:val="24"/>
                <w:lang w:eastAsia="zh-CN"/>
              </w:rPr>
              <w:t>项目负责人（满分15分）：</w:t>
            </w:r>
            <w:r>
              <w:rPr>
                <w:rFonts w:hint="eastAsia" w:ascii="仿宋" w:hAnsi="仿宋" w:eastAsia="仿宋" w:cs="仿宋"/>
                <w:color w:val="000000"/>
                <w:sz w:val="24"/>
                <w:szCs w:val="24"/>
                <w:lang w:eastAsia="zh-CN"/>
              </w:rPr>
              <w:br w:type="textWrapping"/>
            </w:r>
            <w:r>
              <w:rPr>
                <w:rFonts w:hint="eastAsia" w:ascii="仿宋" w:hAnsi="仿宋" w:eastAsia="仿宋" w:cs="仿宋"/>
                <w:color w:val="000000"/>
                <w:sz w:val="24"/>
                <w:szCs w:val="24"/>
                <w:lang w:eastAsia="zh-CN"/>
              </w:rPr>
              <w:t>具有贵州省招标采购协会颁发的《招标采购项目经理（负责人）》能力考评证书的得5分。具有中级及以上职称的得5分，项目负责人从业年份5年及以上的得5分；</w:t>
            </w:r>
            <w:r>
              <w:rPr>
                <w:rFonts w:hint="eastAsia" w:ascii="仿宋" w:hAnsi="仿宋" w:eastAsia="仿宋" w:cs="仿宋"/>
                <w:color w:val="000000"/>
                <w:sz w:val="24"/>
                <w:szCs w:val="24"/>
                <w:lang w:eastAsia="zh-CN"/>
              </w:rPr>
              <w:br w:type="textWrapping"/>
            </w:r>
            <w:r>
              <w:rPr>
                <w:rFonts w:hint="eastAsia" w:ascii="仿宋" w:hAnsi="仿宋" w:eastAsia="仿宋" w:cs="仿宋"/>
                <w:color w:val="000000"/>
                <w:sz w:val="24"/>
                <w:szCs w:val="24"/>
                <w:lang w:eastAsia="zh-CN"/>
              </w:rPr>
              <w:t>证明：提供履历表、相应证书以及2025年至本公告发布之日任意三个月代理机构为其缴纳的社保证明材料，未提供不得分。</w:t>
            </w:r>
          </w:p>
        </w:tc>
      </w:tr>
      <w:tr w14:paraId="42C92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8" w:type="pct"/>
            <w:noWrap/>
            <w:vAlign w:val="center"/>
          </w:tcPr>
          <w:p w14:paraId="2C30C0A7">
            <w:pPr>
              <w:widowControl/>
              <w:spacing w:line="460" w:lineRule="exact"/>
              <w:jc w:val="center"/>
              <w:rPr>
                <w:rFonts w:ascii="仿宋" w:hAnsi="仿宋" w:eastAsia="仿宋" w:cs="仿宋"/>
                <w:color w:val="000000"/>
                <w:sz w:val="24"/>
                <w:szCs w:val="24"/>
                <w:lang w:eastAsia="zh-CN"/>
              </w:rPr>
            </w:pPr>
            <w:r>
              <w:rPr>
                <w:rFonts w:hint="eastAsia" w:ascii="仿宋" w:hAnsi="仿宋" w:eastAsia="仿宋" w:cs="仿宋"/>
                <w:color w:val="000000"/>
                <w:sz w:val="24"/>
                <w:szCs w:val="24"/>
                <w:lang w:eastAsia="zh-CN"/>
              </w:rPr>
              <w:t>3</w:t>
            </w:r>
          </w:p>
        </w:tc>
        <w:tc>
          <w:tcPr>
            <w:tcW w:w="882" w:type="pct"/>
            <w:vAlign w:val="center"/>
          </w:tcPr>
          <w:p w14:paraId="6A9B27AC">
            <w:pPr>
              <w:widowControl/>
              <w:spacing w:line="460" w:lineRule="exact"/>
              <w:jc w:val="both"/>
              <w:rPr>
                <w:rFonts w:ascii="仿宋" w:hAnsi="仿宋" w:eastAsia="仿宋" w:cs="仿宋"/>
                <w:color w:val="000000"/>
                <w:sz w:val="24"/>
                <w:szCs w:val="24"/>
              </w:rPr>
            </w:pPr>
            <w:r>
              <w:rPr>
                <w:rFonts w:hint="eastAsia" w:ascii="仿宋" w:hAnsi="仿宋" w:eastAsia="仿宋" w:cs="仿宋"/>
                <w:color w:val="000000"/>
                <w:sz w:val="24"/>
                <w:szCs w:val="24"/>
                <w:lang w:eastAsia="zh-CN"/>
              </w:rPr>
              <w:t>服务团队人员</w:t>
            </w:r>
          </w:p>
        </w:tc>
        <w:tc>
          <w:tcPr>
            <w:tcW w:w="581" w:type="pct"/>
            <w:noWrap/>
            <w:vAlign w:val="center"/>
          </w:tcPr>
          <w:p w14:paraId="207C2699">
            <w:pPr>
              <w:widowControl/>
              <w:spacing w:line="460" w:lineRule="exact"/>
              <w:jc w:val="center"/>
              <w:rPr>
                <w:rFonts w:ascii="仿宋" w:hAnsi="仿宋" w:eastAsia="仿宋" w:cs="仿宋"/>
                <w:color w:val="000000"/>
                <w:sz w:val="24"/>
                <w:szCs w:val="24"/>
                <w:lang w:eastAsia="zh-CN"/>
              </w:rPr>
            </w:pPr>
            <w:r>
              <w:rPr>
                <w:rFonts w:hint="eastAsia" w:ascii="仿宋" w:hAnsi="仿宋" w:eastAsia="仿宋" w:cs="仿宋"/>
                <w:color w:val="000000"/>
                <w:sz w:val="24"/>
                <w:szCs w:val="24"/>
                <w:lang w:eastAsia="zh-CN"/>
              </w:rPr>
              <w:t>10分</w:t>
            </w:r>
          </w:p>
        </w:tc>
        <w:tc>
          <w:tcPr>
            <w:tcW w:w="3109" w:type="pct"/>
            <w:vAlign w:val="center"/>
          </w:tcPr>
          <w:p w14:paraId="744FC104">
            <w:pPr>
              <w:widowControl/>
              <w:spacing w:line="460" w:lineRule="exact"/>
              <w:rPr>
                <w:rFonts w:ascii="仿宋" w:hAnsi="仿宋" w:eastAsia="仿宋" w:cs="仿宋"/>
                <w:color w:val="000000"/>
                <w:sz w:val="24"/>
                <w:szCs w:val="24"/>
                <w:lang w:eastAsia="zh-CN"/>
              </w:rPr>
            </w:pPr>
            <w:r>
              <w:rPr>
                <w:rFonts w:hint="eastAsia" w:ascii="仿宋" w:hAnsi="仿宋" w:eastAsia="仿宋" w:cs="仿宋"/>
                <w:color w:val="000000"/>
                <w:sz w:val="24"/>
                <w:szCs w:val="24"/>
                <w:lang w:eastAsia="zh-CN"/>
              </w:rPr>
              <w:t>服务团队人员（满分10分）：</w:t>
            </w:r>
          </w:p>
          <w:p w14:paraId="5737E8D8">
            <w:pPr>
              <w:widowControl/>
              <w:spacing w:line="460" w:lineRule="exact"/>
              <w:rPr>
                <w:rFonts w:ascii="仿宋" w:hAnsi="仿宋" w:eastAsia="仿宋" w:cs="仿宋"/>
                <w:color w:val="000000"/>
                <w:sz w:val="24"/>
                <w:szCs w:val="24"/>
                <w:lang w:eastAsia="zh-CN"/>
              </w:rPr>
            </w:pPr>
            <w:r>
              <w:rPr>
                <w:rFonts w:hint="eastAsia" w:ascii="仿宋" w:hAnsi="仿宋" w:eastAsia="仿宋" w:cs="仿宋"/>
                <w:color w:val="000000"/>
                <w:sz w:val="24"/>
                <w:szCs w:val="24"/>
                <w:lang w:eastAsia="zh-CN"/>
              </w:rPr>
              <w:t>拟派服务团队人员具有贵州省招标采购协会颁发颁发的《招标采购专职人员从业》能力考评证书的，每有1人得2分，最多得10分（不包含项目负责人）。</w:t>
            </w:r>
            <w:r>
              <w:rPr>
                <w:rFonts w:hint="eastAsia" w:ascii="仿宋" w:hAnsi="仿宋" w:eastAsia="仿宋" w:cs="仿宋"/>
                <w:color w:val="000000"/>
                <w:sz w:val="24"/>
                <w:szCs w:val="24"/>
                <w:lang w:eastAsia="zh-CN"/>
              </w:rPr>
              <w:br w:type="textWrapping"/>
            </w:r>
            <w:r>
              <w:rPr>
                <w:rFonts w:hint="eastAsia" w:ascii="仿宋" w:hAnsi="仿宋" w:eastAsia="仿宋" w:cs="仿宋"/>
                <w:color w:val="000000"/>
                <w:sz w:val="24"/>
                <w:szCs w:val="24"/>
                <w:lang w:eastAsia="zh-CN"/>
              </w:rPr>
              <w:t>证明：提供相应证书以及2025年至本公告发布之日任意三个月代理机构为其缴纳的社保证明材料，未提供不得分。</w:t>
            </w:r>
          </w:p>
        </w:tc>
      </w:tr>
      <w:tr w14:paraId="5D817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8" w:type="pct"/>
            <w:noWrap/>
            <w:vAlign w:val="center"/>
          </w:tcPr>
          <w:p w14:paraId="2C3ACF4E">
            <w:pPr>
              <w:widowControl/>
              <w:spacing w:line="460" w:lineRule="exact"/>
              <w:jc w:val="center"/>
              <w:rPr>
                <w:rFonts w:ascii="仿宋" w:hAnsi="仿宋" w:eastAsia="仿宋" w:cs="仿宋"/>
                <w:color w:val="000000"/>
                <w:sz w:val="24"/>
                <w:szCs w:val="24"/>
                <w:lang w:eastAsia="zh-CN"/>
              </w:rPr>
            </w:pPr>
            <w:r>
              <w:rPr>
                <w:rFonts w:hint="eastAsia" w:ascii="仿宋" w:hAnsi="仿宋" w:eastAsia="仿宋" w:cs="仿宋"/>
                <w:color w:val="000000"/>
                <w:sz w:val="24"/>
                <w:szCs w:val="24"/>
                <w:lang w:eastAsia="zh-CN"/>
              </w:rPr>
              <w:t>4</w:t>
            </w:r>
          </w:p>
        </w:tc>
        <w:tc>
          <w:tcPr>
            <w:tcW w:w="882" w:type="pct"/>
            <w:vAlign w:val="center"/>
          </w:tcPr>
          <w:p w14:paraId="3959F7E4">
            <w:pPr>
              <w:widowControl/>
              <w:spacing w:line="460" w:lineRule="exact"/>
              <w:jc w:val="center"/>
              <w:rPr>
                <w:rFonts w:ascii="仿宋" w:hAnsi="仿宋" w:eastAsia="仿宋" w:cs="仿宋"/>
                <w:color w:val="000000"/>
                <w:sz w:val="24"/>
                <w:szCs w:val="24"/>
                <w:lang w:eastAsia="zh-CN"/>
              </w:rPr>
            </w:pPr>
            <w:r>
              <w:rPr>
                <w:rFonts w:hint="eastAsia" w:ascii="仿宋" w:hAnsi="仿宋" w:eastAsia="仿宋" w:cs="仿宋"/>
                <w:color w:val="000000"/>
                <w:sz w:val="24"/>
                <w:szCs w:val="24"/>
              </w:rPr>
              <w:t>独立办公条件</w:t>
            </w:r>
          </w:p>
        </w:tc>
        <w:tc>
          <w:tcPr>
            <w:tcW w:w="581" w:type="pct"/>
            <w:noWrap/>
            <w:vAlign w:val="center"/>
          </w:tcPr>
          <w:p w14:paraId="2FFFCA1C">
            <w:pPr>
              <w:widowControl/>
              <w:spacing w:line="460" w:lineRule="exact"/>
              <w:jc w:val="center"/>
              <w:rPr>
                <w:rFonts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lang w:eastAsia="zh-CN"/>
              </w:rPr>
              <w:t>分</w:t>
            </w:r>
          </w:p>
        </w:tc>
        <w:tc>
          <w:tcPr>
            <w:tcW w:w="3109" w:type="pct"/>
            <w:vAlign w:val="center"/>
          </w:tcPr>
          <w:p w14:paraId="45247A2E">
            <w:pPr>
              <w:widowControl/>
              <w:spacing w:line="460" w:lineRule="exact"/>
              <w:rPr>
                <w:rFonts w:ascii="仿宋" w:hAnsi="仿宋" w:eastAsia="仿宋" w:cs="仿宋"/>
                <w:color w:val="000000"/>
                <w:sz w:val="24"/>
                <w:szCs w:val="24"/>
                <w:lang w:eastAsia="zh-CN"/>
              </w:rPr>
            </w:pPr>
            <w:r>
              <w:rPr>
                <w:rFonts w:hint="eastAsia" w:ascii="仿宋" w:hAnsi="仿宋" w:eastAsia="仿宋" w:cs="仿宋"/>
                <w:color w:val="000000"/>
                <w:sz w:val="24"/>
                <w:szCs w:val="24"/>
                <w:lang w:eastAsia="zh-CN"/>
              </w:rPr>
              <w:t>办公条件（满分3分）：</w:t>
            </w:r>
            <w:r>
              <w:rPr>
                <w:rFonts w:hint="eastAsia" w:ascii="仿宋" w:hAnsi="仿宋" w:eastAsia="仿宋" w:cs="仿宋"/>
                <w:color w:val="000000"/>
                <w:sz w:val="24"/>
                <w:szCs w:val="24"/>
                <w:lang w:eastAsia="zh-CN"/>
              </w:rPr>
              <w:br w:type="textWrapping"/>
            </w:r>
            <w:r>
              <w:rPr>
                <w:rFonts w:hint="eastAsia" w:ascii="仿宋" w:hAnsi="仿宋" w:eastAsia="仿宋" w:cs="仿宋"/>
                <w:color w:val="000000"/>
                <w:sz w:val="24"/>
                <w:szCs w:val="24"/>
                <w:lang w:eastAsia="zh-CN"/>
              </w:rPr>
              <w:t>具有开评标场地和独立档案室的得</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lang w:eastAsia="zh-CN"/>
              </w:rPr>
              <w:t>分。本项满分</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lang w:eastAsia="zh-CN"/>
              </w:rPr>
              <w:t>分。</w:t>
            </w:r>
            <w:r>
              <w:rPr>
                <w:rFonts w:hint="eastAsia" w:ascii="仿宋" w:hAnsi="仿宋" w:eastAsia="仿宋" w:cs="仿宋"/>
                <w:color w:val="000000"/>
                <w:sz w:val="24"/>
                <w:szCs w:val="24"/>
                <w:lang w:eastAsia="zh-CN"/>
              </w:rPr>
              <w:br w:type="textWrapping"/>
            </w:r>
            <w:r>
              <w:rPr>
                <w:rFonts w:hint="eastAsia" w:ascii="仿宋" w:hAnsi="仿宋" w:eastAsia="仿宋" w:cs="仿宋"/>
                <w:color w:val="000000"/>
                <w:sz w:val="24"/>
                <w:szCs w:val="24"/>
                <w:lang w:eastAsia="zh-CN"/>
              </w:rPr>
              <w:t>注：需提供房产证或租赁合同复印件并加盖单位公章，提供开评标场地、档案室的图片，须加盖单位公章，不盖单位公章不得分；</w:t>
            </w:r>
          </w:p>
        </w:tc>
      </w:tr>
      <w:tr w14:paraId="17B74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8" w:type="pct"/>
            <w:noWrap/>
            <w:vAlign w:val="center"/>
          </w:tcPr>
          <w:p w14:paraId="0CBA80B4">
            <w:pPr>
              <w:widowControl/>
              <w:spacing w:line="460" w:lineRule="exact"/>
              <w:jc w:val="center"/>
              <w:rPr>
                <w:rFonts w:ascii="仿宋" w:hAnsi="仿宋" w:eastAsia="仿宋" w:cs="仿宋"/>
                <w:color w:val="000000"/>
                <w:sz w:val="24"/>
                <w:szCs w:val="24"/>
                <w:lang w:eastAsia="zh-CN"/>
              </w:rPr>
            </w:pPr>
            <w:r>
              <w:rPr>
                <w:rFonts w:hint="eastAsia" w:ascii="仿宋" w:hAnsi="仿宋" w:eastAsia="仿宋" w:cs="仿宋"/>
                <w:color w:val="000000"/>
                <w:sz w:val="24"/>
                <w:szCs w:val="24"/>
                <w:lang w:eastAsia="zh-CN"/>
              </w:rPr>
              <w:t>5</w:t>
            </w:r>
          </w:p>
        </w:tc>
        <w:tc>
          <w:tcPr>
            <w:tcW w:w="882" w:type="pct"/>
            <w:vAlign w:val="center"/>
          </w:tcPr>
          <w:p w14:paraId="03A31D3F">
            <w:pPr>
              <w:widowControl/>
              <w:spacing w:line="460" w:lineRule="exact"/>
              <w:jc w:val="center"/>
              <w:rPr>
                <w:rFonts w:ascii="仿宋" w:hAnsi="仿宋" w:eastAsia="仿宋" w:cs="仿宋"/>
                <w:color w:val="000000"/>
                <w:sz w:val="24"/>
                <w:szCs w:val="24"/>
              </w:rPr>
            </w:pPr>
            <w:r>
              <w:rPr>
                <w:rFonts w:hint="eastAsia" w:ascii="仿宋" w:hAnsi="仿宋" w:eastAsia="仿宋" w:cs="仿宋"/>
                <w:color w:val="000000"/>
                <w:sz w:val="24"/>
                <w:szCs w:val="24"/>
                <w:lang w:eastAsia="zh-CN"/>
              </w:rPr>
              <w:t>企业实力</w:t>
            </w:r>
          </w:p>
        </w:tc>
        <w:tc>
          <w:tcPr>
            <w:tcW w:w="581" w:type="pct"/>
            <w:noWrap/>
            <w:vAlign w:val="center"/>
          </w:tcPr>
          <w:p w14:paraId="588E5CCC">
            <w:pPr>
              <w:widowControl/>
              <w:spacing w:line="460" w:lineRule="exact"/>
              <w:jc w:val="center"/>
              <w:rPr>
                <w:rFonts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10</w:t>
            </w:r>
            <w:r>
              <w:rPr>
                <w:rFonts w:hint="eastAsia" w:ascii="仿宋" w:hAnsi="仿宋" w:eastAsia="仿宋" w:cs="仿宋"/>
                <w:color w:val="000000"/>
                <w:sz w:val="24"/>
                <w:szCs w:val="24"/>
                <w:lang w:eastAsia="zh-CN"/>
              </w:rPr>
              <w:t>分</w:t>
            </w:r>
          </w:p>
        </w:tc>
        <w:tc>
          <w:tcPr>
            <w:tcW w:w="3109" w:type="pct"/>
            <w:vAlign w:val="center"/>
          </w:tcPr>
          <w:p w14:paraId="5CCCD1E0">
            <w:pPr>
              <w:widowControl/>
              <w:numPr>
                <w:ilvl w:val="0"/>
                <w:numId w:val="2"/>
              </w:numPr>
              <w:spacing w:line="460" w:lineRule="exact"/>
              <w:rPr>
                <w:rFonts w:ascii="仿宋" w:hAnsi="仿宋" w:eastAsia="仿宋" w:cs="仿宋"/>
                <w:kern w:val="2"/>
                <w:sz w:val="24"/>
                <w:szCs w:val="24"/>
                <w:lang w:eastAsia="zh-CN"/>
              </w:rPr>
            </w:pPr>
            <w:r>
              <w:rPr>
                <w:rFonts w:hint="eastAsia" w:ascii="仿宋" w:hAnsi="仿宋" w:eastAsia="仿宋" w:cs="仿宋"/>
                <w:kern w:val="2"/>
                <w:sz w:val="24"/>
                <w:szCs w:val="24"/>
                <w:lang w:eastAsia="zh-CN"/>
              </w:rPr>
              <w:t>获得贵州省招标采购协会理事单位的得4分；</w:t>
            </w:r>
          </w:p>
          <w:p w14:paraId="40C660BF">
            <w:pPr>
              <w:pStyle w:val="2"/>
              <w:numPr>
                <w:ilvl w:val="0"/>
                <w:numId w:val="2"/>
              </w:numPr>
              <w:rPr>
                <w:rFonts w:ascii="仿宋" w:hAnsi="仿宋" w:eastAsia="仿宋" w:cs="仿宋"/>
                <w:b w:val="0"/>
                <w:kern w:val="2"/>
                <w:sz w:val="24"/>
                <w:szCs w:val="24"/>
                <w:lang w:eastAsia="zh-CN"/>
              </w:rPr>
            </w:pPr>
            <w:r>
              <w:rPr>
                <w:rFonts w:hint="eastAsia" w:ascii="仿宋" w:hAnsi="仿宋" w:eastAsia="仿宋" w:cs="仿宋"/>
                <w:b w:val="0"/>
                <w:kern w:val="2"/>
                <w:sz w:val="24"/>
                <w:szCs w:val="24"/>
                <w:lang w:eastAsia="zh-CN"/>
              </w:rPr>
              <w:t>获得优秀招标代理机构得3分；</w:t>
            </w:r>
          </w:p>
          <w:p w14:paraId="4B83518F">
            <w:pPr>
              <w:rPr>
                <w:rFonts w:hint="default"/>
                <w:lang w:val="en-US" w:eastAsia="zh-CN"/>
              </w:rPr>
            </w:pPr>
            <w:r>
              <w:rPr>
                <w:rFonts w:hint="eastAsia" w:ascii="仿宋" w:hAnsi="仿宋" w:eastAsia="仿宋" w:cs="仿宋"/>
                <w:b w:val="0"/>
                <w:kern w:val="2"/>
                <w:sz w:val="24"/>
                <w:szCs w:val="24"/>
                <w:lang w:val="en-US" w:eastAsia="zh-CN"/>
              </w:rPr>
              <w:t>3）获得相关荣誉的得3分（如信用企业等）；</w:t>
            </w:r>
          </w:p>
          <w:p w14:paraId="3351BB07">
            <w:pPr>
              <w:pStyle w:val="2"/>
              <w:rPr>
                <w:rFonts w:ascii="仿宋" w:hAnsi="仿宋" w:eastAsia="仿宋" w:cs="仿宋"/>
                <w:b w:val="0"/>
                <w:color w:val="000000"/>
                <w:sz w:val="24"/>
                <w:szCs w:val="24"/>
                <w:lang w:eastAsia="zh-CN"/>
              </w:rPr>
            </w:pPr>
            <w:r>
              <w:rPr>
                <w:rFonts w:hint="eastAsia" w:ascii="仿宋" w:hAnsi="仿宋" w:eastAsia="仿宋" w:cs="仿宋"/>
                <w:b w:val="0"/>
                <w:color w:val="000000"/>
                <w:sz w:val="24"/>
                <w:szCs w:val="24"/>
                <w:lang w:eastAsia="zh-CN"/>
              </w:rPr>
              <w:t>注：提供以上证书作为证明材料加盖公章；未提供不得相应分值</w:t>
            </w:r>
          </w:p>
        </w:tc>
      </w:tr>
      <w:tr w14:paraId="5FB3F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428" w:type="pct"/>
            <w:noWrap/>
            <w:vAlign w:val="center"/>
          </w:tcPr>
          <w:p w14:paraId="68DB4675">
            <w:pPr>
              <w:widowControl/>
              <w:spacing w:line="46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6</w:t>
            </w:r>
          </w:p>
        </w:tc>
        <w:tc>
          <w:tcPr>
            <w:tcW w:w="882" w:type="pct"/>
            <w:vAlign w:val="center"/>
          </w:tcPr>
          <w:p w14:paraId="5A7A3074">
            <w:pPr>
              <w:widowControl/>
              <w:spacing w:line="460" w:lineRule="exact"/>
              <w:jc w:val="center"/>
              <w:rPr>
                <w:rFonts w:ascii="仿宋" w:hAnsi="仿宋" w:eastAsia="仿宋" w:cs="仿宋"/>
                <w:color w:val="000000"/>
                <w:sz w:val="24"/>
                <w:szCs w:val="24"/>
                <w:lang w:eastAsia="zh-CN"/>
              </w:rPr>
            </w:pPr>
            <w:r>
              <w:rPr>
                <w:rFonts w:hint="eastAsia" w:ascii="仿宋" w:hAnsi="仿宋" w:eastAsia="仿宋" w:cs="仿宋"/>
                <w:color w:val="000000"/>
                <w:sz w:val="24"/>
                <w:szCs w:val="24"/>
                <w:lang w:eastAsia="zh-CN"/>
              </w:rPr>
              <w:t>业绩</w:t>
            </w:r>
          </w:p>
        </w:tc>
        <w:tc>
          <w:tcPr>
            <w:tcW w:w="581" w:type="pct"/>
            <w:noWrap/>
            <w:vAlign w:val="center"/>
          </w:tcPr>
          <w:p w14:paraId="28A1DCEB">
            <w:pPr>
              <w:widowControl/>
              <w:spacing w:line="460" w:lineRule="exact"/>
              <w:jc w:val="center"/>
              <w:rPr>
                <w:rFonts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20</w:t>
            </w:r>
            <w:r>
              <w:rPr>
                <w:rFonts w:hint="eastAsia" w:ascii="仿宋" w:hAnsi="仿宋" w:eastAsia="仿宋" w:cs="仿宋"/>
                <w:color w:val="000000"/>
                <w:sz w:val="24"/>
                <w:szCs w:val="24"/>
                <w:lang w:eastAsia="zh-CN"/>
              </w:rPr>
              <w:t>分</w:t>
            </w:r>
          </w:p>
        </w:tc>
        <w:tc>
          <w:tcPr>
            <w:tcW w:w="3109" w:type="pct"/>
            <w:vAlign w:val="center"/>
          </w:tcPr>
          <w:p w14:paraId="6A907FA4">
            <w:pPr>
              <w:widowControl/>
              <w:spacing w:line="460" w:lineRule="exact"/>
              <w:rPr>
                <w:rFonts w:ascii="仿宋" w:hAnsi="仿宋" w:eastAsia="仿宋" w:cs="仿宋"/>
                <w:color w:val="000000"/>
                <w:sz w:val="24"/>
                <w:szCs w:val="24"/>
                <w:lang w:eastAsia="zh-CN"/>
              </w:rPr>
            </w:pPr>
            <w:r>
              <w:rPr>
                <w:rFonts w:hint="eastAsia" w:ascii="仿宋" w:hAnsi="仿宋" w:eastAsia="仿宋" w:cs="仿宋"/>
                <w:color w:val="000000"/>
                <w:sz w:val="24"/>
                <w:szCs w:val="24"/>
                <w:lang w:eastAsia="zh-CN"/>
              </w:rPr>
              <w:t>每提供一个202</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lang w:eastAsia="zh-CN"/>
              </w:rPr>
              <w:t>年1月至今的招标代理项目业绩的得</w:t>
            </w: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lang w:eastAsia="zh-CN"/>
              </w:rPr>
              <w:t>分，本项满分</w:t>
            </w:r>
            <w:r>
              <w:rPr>
                <w:rFonts w:hint="eastAsia" w:ascii="仿宋" w:hAnsi="仿宋" w:eastAsia="仿宋" w:cs="仿宋"/>
                <w:color w:val="000000"/>
                <w:sz w:val="24"/>
                <w:szCs w:val="24"/>
                <w:lang w:val="en-US" w:eastAsia="zh-CN"/>
              </w:rPr>
              <w:t>20</w:t>
            </w:r>
            <w:r>
              <w:rPr>
                <w:rFonts w:hint="eastAsia" w:ascii="仿宋" w:hAnsi="仿宋" w:eastAsia="仿宋" w:cs="仿宋"/>
                <w:color w:val="000000"/>
                <w:sz w:val="24"/>
                <w:szCs w:val="24"/>
                <w:lang w:eastAsia="zh-CN"/>
              </w:rPr>
              <w:t>分。</w:t>
            </w:r>
          </w:p>
          <w:p w14:paraId="1C74D0BA">
            <w:pPr>
              <w:widowControl/>
              <w:spacing w:line="460" w:lineRule="exact"/>
              <w:rPr>
                <w:rFonts w:ascii="仿宋" w:hAnsi="仿宋" w:eastAsia="仿宋" w:cs="仿宋"/>
                <w:color w:val="000000"/>
                <w:sz w:val="24"/>
                <w:szCs w:val="24"/>
                <w:lang w:eastAsia="zh-CN"/>
              </w:rPr>
            </w:pPr>
            <w:r>
              <w:rPr>
                <w:rFonts w:hint="eastAsia" w:ascii="仿宋" w:hAnsi="仿宋" w:eastAsia="仿宋" w:cs="仿宋"/>
                <w:color w:val="000000"/>
                <w:sz w:val="24"/>
                <w:szCs w:val="24"/>
                <w:lang w:eastAsia="zh-CN"/>
              </w:rPr>
              <w:t>证明材料：提供中国政府采购网或贵州省政府采购网上招标公告或中标公示截图加盖公章，作为证明材料，否则不得分</w:t>
            </w:r>
          </w:p>
        </w:tc>
      </w:tr>
      <w:tr w14:paraId="53048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310" w:type="pct"/>
            <w:gridSpan w:val="2"/>
            <w:noWrap/>
            <w:vAlign w:val="center"/>
          </w:tcPr>
          <w:p w14:paraId="124BF4F5">
            <w:pPr>
              <w:widowControl/>
              <w:spacing w:line="46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得分</w:t>
            </w:r>
          </w:p>
        </w:tc>
        <w:tc>
          <w:tcPr>
            <w:tcW w:w="581" w:type="pct"/>
            <w:noWrap/>
            <w:vAlign w:val="center"/>
          </w:tcPr>
          <w:p w14:paraId="4088656E">
            <w:pPr>
              <w:widowControl/>
              <w:spacing w:line="460" w:lineRule="exact"/>
              <w:jc w:val="center"/>
              <w:rPr>
                <w:rFonts w:ascii="仿宋" w:hAnsi="仿宋" w:eastAsia="仿宋" w:cs="仿宋"/>
                <w:color w:val="000000"/>
                <w:sz w:val="24"/>
                <w:szCs w:val="24"/>
                <w:lang w:eastAsia="zh-CN"/>
              </w:rPr>
            </w:pPr>
            <w:r>
              <w:rPr>
                <w:rFonts w:hint="eastAsia" w:ascii="仿宋" w:hAnsi="仿宋" w:eastAsia="仿宋" w:cs="仿宋"/>
                <w:color w:val="000000"/>
                <w:sz w:val="24"/>
                <w:szCs w:val="24"/>
                <w:lang w:eastAsia="zh-CN"/>
              </w:rPr>
              <w:t>100分</w:t>
            </w:r>
          </w:p>
        </w:tc>
        <w:tc>
          <w:tcPr>
            <w:tcW w:w="3109" w:type="pct"/>
            <w:vAlign w:val="center"/>
          </w:tcPr>
          <w:p w14:paraId="0DFB1A3B">
            <w:pPr>
              <w:widowControl/>
              <w:spacing w:line="460" w:lineRule="exact"/>
              <w:jc w:val="center"/>
              <w:rPr>
                <w:rFonts w:ascii="仿宋" w:hAnsi="仿宋" w:eastAsia="仿宋" w:cs="仿宋"/>
                <w:color w:val="000000"/>
                <w:sz w:val="24"/>
                <w:szCs w:val="24"/>
              </w:rPr>
            </w:pPr>
          </w:p>
        </w:tc>
      </w:tr>
    </w:tbl>
    <w:p w14:paraId="4844CB6F">
      <w:pPr>
        <w:pStyle w:val="11"/>
        <w:rPr>
          <w:szCs w:val="24"/>
          <w:lang w:eastAsia="zh-CN"/>
        </w:rPr>
      </w:pPr>
    </w:p>
    <w:bookmarkEnd w:id="1"/>
    <w:p w14:paraId="6CE54248">
      <w:pPr>
        <w:spacing w:after="0" w:line="500" w:lineRule="exact"/>
        <w:ind w:right="-20"/>
        <w:jc w:val="both"/>
        <w:rPr>
          <w:rFonts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4"/>
          <w:szCs w:val="24"/>
          <w:lang w:eastAsia="zh-CN"/>
        </w:rPr>
        <w:t>注：上述评分为各评委独立打分，</w:t>
      </w:r>
      <w:r>
        <w:rPr>
          <w:rFonts w:hint="eastAsia" w:ascii="宋体" w:hAnsi="宋体" w:cs="宋体"/>
          <w:sz w:val="24"/>
          <w:szCs w:val="24"/>
          <w:u w:val="single"/>
          <w:lang w:eastAsia="zh-CN"/>
        </w:rPr>
        <w:t>响应人</w:t>
      </w:r>
      <w:r>
        <w:rPr>
          <w:rFonts w:hint="eastAsia" w:asciiTheme="minorEastAsia" w:hAnsiTheme="minorEastAsia" w:eastAsiaTheme="minorEastAsia" w:cstheme="minorEastAsia"/>
          <w:b/>
          <w:bCs/>
          <w:sz w:val="24"/>
          <w:szCs w:val="24"/>
          <w:lang w:eastAsia="zh-CN"/>
        </w:rPr>
        <w:t>综合得分为各评委打分的算术平均值（保留2位小数）</w:t>
      </w:r>
    </w:p>
    <w:p w14:paraId="7001D2D4">
      <w:pPr>
        <w:pStyle w:val="12"/>
        <w:spacing w:line="360" w:lineRule="auto"/>
        <w:rPr>
          <w:rFonts w:hAnsi="宋体"/>
          <w:b/>
          <w:color w:val="auto"/>
          <w:sz w:val="28"/>
          <w:szCs w:val="28"/>
        </w:rPr>
      </w:pPr>
    </w:p>
    <w:p w14:paraId="1E3CC888">
      <w:pPr>
        <w:pStyle w:val="4"/>
        <w:rPr>
          <w:rFonts w:hAnsi="宋体"/>
          <w:b/>
          <w:sz w:val="28"/>
          <w:szCs w:val="28"/>
          <w:lang w:eastAsia="zh-CN"/>
        </w:rPr>
      </w:pPr>
    </w:p>
    <w:p w14:paraId="3B16B773">
      <w:pPr>
        <w:pStyle w:val="4"/>
        <w:rPr>
          <w:rFonts w:hAnsi="宋体"/>
          <w:b/>
          <w:sz w:val="28"/>
          <w:szCs w:val="28"/>
          <w:lang w:eastAsia="zh-CN"/>
        </w:rPr>
      </w:pPr>
    </w:p>
    <w:p w14:paraId="63321CD5">
      <w:pPr>
        <w:pStyle w:val="4"/>
        <w:rPr>
          <w:rFonts w:hAnsi="宋体"/>
          <w:b/>
          <w:sz w:val="28"/>
          <w:szCs w:val="28"/>
          <w:lang w:eastAsia="zh-CN"/>
        </w:rPr>
      </w:pPr>
    </w:p>
    <w:p w14:paraId="17A9265D">
      <w:pPr>
        <w:pStyle w:val="4"/>
        <w:rPr>
          <w:rFonts w:hAnsi="宋体"/>
          <w:b/>
          <w:sz w:val="28"/>
          <w:szCs w:val="28"/>
          <w:lang w:eastAsia="zh-CN"/>
        </w:rPr>
      </w:pPr>
    </w:p>
    <w:p w14:paraId="1EBD5239">
      <w:pPr>
        <w:pStyle w:val="4"/>
        <w:rPr>
          <w:rFonts w:hAnsi="宋体"/>
          <w:b/>
          <w:sz w:val="28"/>
          <w:szCs w:val="28"/>
          <w:lang w:eastAsia="zh-CN"/>
        </w:rPr>
      </w:pPr>
    </w:p>
    <w:p w14:paraId="3165547A">
      <w:pPr>
        <w:pStyle w:val="4"/>
        <w:rPr>
          <w:rFonts w:hAnsi="宋体"/>
          <w:b/>
          <w:sz w:val="28"/>
          <w:szCs w:val="28"/>
          <w:lang w:eastAsia="zh-CN"/>
        </w:rPr>
      </w:pPr>
    </w:p>
    <w:p w14:paraId="0CBF3742">
      <w:pPr>
        <w:pStyle w:val="4"/>
        <w:rPr>
          <w:rFonts w:hAnsi="宋体"/>
          <w:b/>
          <w:sz w:val="28"/>
          <w:szCs w:val="28"/>
          <w:lang w:eastAsia="zh-CN"/>
        </w:rPr>
      </w:pPr>
    </w:p>
    <w:p w14:paraId="1177625C">
      <w:pPr>
        <w:pStyle w:val="4"/>
        <w:rPr>
          <w:rFonts w:hAnsi="宋体"/>
          <w:b/>
          <w:sz w:val="28"/>
          <w:szCs w:val="28"/>
          <w:lang w:eastAsia="zh-CN"/>
        </w:rPr>
      </w:pPr>
    </w:p>
    <w:p w14:paraId="4F646B47">
      <w:pPr>
        <w:pStyle w:val="4"/>
        <w:rPr>
          <w:rFonts w:hAnsi="宋体"/>
          <w:b/>
          <w:sz w:val="28"/>
          <w:szCs w:val="28"/>
          <w:lang w:eastAsia="zh-CN"/>
        </w:rPr>
      </w:pPr>
    </w:p>
    <w:p w14:paraId="2363DA51">
      <w:pPr>
        <w:pStyle w:val="4"/>
        <w:rPr>
          <w:rFonts w:hAnsi="宋体"/>
          <w:b/>
          <w:sz w:val="28"/>
          <w:szCs w:val="28"/>
          <w:lang w:eastAsia="zh-CN"/>
        </w:rPr>
      </w:pPr>
    </w:p>
    <w:p w14:paraId="5B83187B">
      <w:pPr>
        <w:pStyle w:val="4"/>
        <w:rPr>
          <w:rFonts w:hAnsi="宋体"/>
          <w:b/>
          <w:sz w:val="28"/>
          <w:szCs w:val="28"/>
          <w:lang w:eastAsia="zh-CN"/>
        </w:rPr>
      </w:pPr>
    </w:p>
    <w:p w14:paraId="1D9712E2">
      <w:pPr>
        <w:rPr>
          <w:lang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22EB7A"/>
    <w:multiLevelType w:val="singleLevel"/>
    <w:tmpl w:val="3522EB7A"/>
    <w:lvl w:ilvl="0" w:tentative="0">
      <w:start w:val="2"/>
      <w:numFmt w:val="chineseCounting"/>
      <w:suff w:val="nothing"/>
      <w:lvlText w:val="（%1）"/>
      <w:lvlJc w:val="left"/>
      <w:pPr>
        <w:ind w:left="379"/>
      </w:pPr>
      <w:rPr>
        <w:rFonts w:hint="eastAsia"/>
      </w:rPr>
    </w:lvl>
  </w:abstractNum>
  <w:abstractNum w:abstractNumId="1">
    <w:nsid w:val="6C3B354E"/>
    <w:multiLevelType w:val="singleLevel"/>
    <w:tmpl w:val="6C3B354E"/>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82EA5"/>
    <w:rsid w:val="00553B35"/>
    <w:rsid w:val="00C82EA5"/>
    <w:rsid w:val="1BAE42E9"/>
    <w:rsid w:val="27EAD6A3"/>
    <w:rsid w:val="FB634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pPr>
    <w:rPr>
      <w:rFonts w:ascii="Calibri" w:hAnsi="Calibri" w:eastAsia="宋体" w:cs="Times New Roman"/>
      <w:kern w:val="0"/>
      <w:sz w:val="22"/>
      <w:szCs w:val="22"/>
      <w:lang w:val="en-US" w:eastAsia="en-US" w:bidi="ar-SA"/>
    </w:rPr>
  </w:style>
  <w:style w:type="paragraph" w:styleId="2">
    <w:name w:val="heading 2"/>
    <w:basedOn w:val="1"/>
    <w:next w:val="1"/>
    <w:link w:val="9"/>
    <w:qFormat/>
    <w:uiPriority w:val="99"/>
    <w:pPr>
      <w:keepNext/>
      <w:keepLines/>
      <w:spacing w:line="412" w:lineRule="auto"/>
      <w:outlineLvl w:val="1"/>
    </w:pPr>
    <w:rPr>
      <w:rFonts w:ascii="Arial" w:hAnsi="Arial" w:eastAsia="黑体"/>
      <w:b/>
      <w:sz w:val="32"/>
      <w:szCs w:val="20"/>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ind w:firstLine="200" w:firstLineChars="200"/>
    </w:pPr>
  </w:style>
  <w:style w:type="paragraph" w:styleId="4">
    <w:name w:val="Body Text Indent"/>
    <w:basedOn w:val="1"/>
    <w:link w:val="10"/>
    <w:qFormat/>
    <w:uiPriority w:val="0"/>
    <w:pPr>
      <w:spacing w:line="380" w:lineRule="exact"/>
      <w:ind w:firstLine="480"/>
    </w:pPr>
    <w:rPr>
      <w:rFonts w:eastAsia="方正书宋简体"/>
      <w:szCs w:val="20"/>
    </w:rPr>
  </w:style>
  <w:style w:type="paragraph" w:styleId="5">
    <w:name w:val="Date"/>
    <w:basedOn w:val="1"/>
    <w:next w:val="1"/>
    <w:link w:val="13"/>
    <w:semiHidden/>
    <w:unhideWhenUsed/>
    <w:qFormat/>
    <w:uiPriority w:val="99"/>
    <w:pPr>
      <w:ind w:left="100" w:leftChars="2500"/>
    </w:pPr>
  </w:style>
  <w:style w:type="table" w:styleId="7">
    <w:name w:val="Table Grid"/>
    <w:basedOn w:val="6"/>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标题 2 Char"/>
    <w:basedOn w:val="8"/>
    <w:link w:val="2"/>
    <w:qFormat/>
    <w:uiPriority w:val="99"/>
    <w:rPr>
      <w:rFonts w:ascii="Arial" w:hAnsi="Arial" w:eastAsia="黑体" w:cs="Times New Roman"/>
      <w:b/>
      <w:kern w:val="0"/>
      <w:sz w:val="32"/>
      <w:szCs w:val="20"/>
      <w:lang w:eastAsia="en-US"/>
    </w:rPr>
  </w:style>
  <w:style w:type="character" w:customStyle="1" w:styleId="10">
    <w:name w:val="正文文本缩进 Char"/>
    <w:basedOn w:val="8"/>
    <w:link w:val="4"/>
    <w:qFormat/>
    <w:uiPriority w:val="0"/>
    <w:rPr>
      <w:rFonts w:ascii="Calibri" w:hAnsi="Calibri" w:eastAsia="方正书宋简体" w:cs="Times New Roman"/>
      <w:kern w:val="0"/>
      <w:sz w:val="22"/>
      <w:szCs w:val="20"/>
      <w:lang w:eastAsia="en-US"/>
    </w:rPr>
  </w:style>
  <w:style w:type="paragraph" w:customStyle="1" w:styleId="11">
    <w:name w:val="四级标题"/>
    <w:basedOn w:val="5"/>
    <w:next w:val="1"/>
    <w:qFormat/>
    <w:uiPriority w:val="99"/>
    <w:pPr>
      <w:autoSpaceDE w:val="0"/>
      <w:autoSpaceDN w:val="0"/>
      <w:adjustRightInd w:val="0"/>
      <w:ind w:left="0" w:leftChars="0"/>
      <w:textAlignment w:val="baseline"/>
    </w:pPr>
    <w:rPr>
      <w:rFonts w:ascii="宋体" w:eastAsia="黑体"/>
      <w:sz w:val="24"/>
    </w:rPr>
  </w:style>
  <w:style w:type="paragraph" w:customStyle="1" w:styleId="12">
    <w:name w:val="Default"/>
    <w:next w:val="4"/>
    <w:qFormat/>
    <w:uiPriority w:val="0"/>
    <w:pPr>
      <w:widowControl w:val="0"/>
    </w:pPr>
    <w:rPr>
      <w:rFonts w:ascii="宋体" w:hAnsi="Times New Roman" w:eastAsia="宋体" w:cs="宋体"/>
      <w:color w:val="000000"/>
      <w:kern w:val="0"/>
      <w:sz w:val="24"/>
      <w:szCs w:val="24"/>
      <w:lang w:val="en-US" w:eastAsia="zh-CN" w:bidi="ar-SA"/>
    </w:rPr>
  </w:style>
  <w:style w:type="character" w:customStyle="1" w:styleId="13">
    <w:name w:val="日期 Char"/>
    <w:basedOn w:val="8"/>
    <w:link w:val="5"/>
    <w:semiHidden/>
    <w:qFormat/>
    <w:uiPriority w:val="99"/>
    <w:rPr>
      <w:rFonts w:ascii="Calibri" w:hAnsi="Calibri" w:eastAsia="宋体" w:cs="Times New Roman"/>
      <w:kern w:val="0"/>
      <w:sz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203</Words>
  <Characters>1163</Characters>
  <Lines>9</Lines>
  <Paragraphs>2</Paragraphs>
  <TotalTime>5</TotalTime>
  <ScaleCrop>false</ScaleCrop>
  <LinksUpToDate>false</LinksUpToDate>
  <CharactersWithSpaces>1364</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2025-07-29T00:56:00Z</dcterms:created>
  <dc:creator>蹭</dc:creator>
  <cp:lastModifiedBy>langchao</cp:lastModifiedBy>
  <dcterms:modified xsi:type="dcterms:W3CDTF">2026-01-20T15:34:47Z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1466B4FFFBF8C6D6602D6F69FAD431C5_42</vt:lpwstr>
  </property>
</Properties>
</file>