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BB8" w:rsidRDefault="002A0BB8" w:rsidP="00745666">
      <w:pPr>
        <w:spacing w:line="360" w:lineRule="auto"/>
        <w:rPr>
          <w:rFonts w:ascii="华文中宋" w:eastAsia="华文中宋" w:hAnsi="华文中宋" w:cs="华文中宋" w:hint="eastAsia"/>
          <w:sz w:val="28"/>
          <w:szCs w:val="28"/>
          <w:lang w:val="en-US"/>
        </w:rPr>
      </w:pPr>
      <w:r>
        <w:rPr>
          <w:rFonts w:ascii="华文中宋" w:eastAsia="华文中宋" w:hAnsi="华文中宋" w:cs="华文中宋" w:hint="eastAsia"/>
          <w:sz w:val="28"/>
          <w:szCs w:val="28"/>
          <w:lang w:val="en-US"/>
        </w:rPr>
        <w:t>附件2：</w:t>
      </w:r>
    </w:p>
    <w:p w:rsidR="00745666" w:rsidRDefault="00745666" w:rsidP="00745666">
      <w:pPr>
        <w:spacing w:line="360" w:lineRule="auto"/>
        <w:rPr>
          <w:rFonts w:ascii="华文中宋" w:eastAsia="华文中宋" w:hAnsi="华文中宋" w:cs="华文中宋"/>
          <w:sz w:val="28"/>
          <w:szCs w:val="28"/>
          <w:lang w:val="en-US"/>
        </w:rPr>
      </w:pPr>
      <w:bookmarkStart w:id="0" w:name="_GoBack"/>
      <w:bookmarkEnd w:id="0"/>
      <w:r>
        <w:rPr>
          <w:rFonts w:ascii="华文中宋" w:eastAsia="华文中宋" w:hAnsi="华文中宋" w:cs="华文中宋" w:hint="eastAsia"/>
          <w:sz w:val="28"/>
          <w:szCs w:val="28"/>
          <w:lang w:val="en-US"/>
        </w:rPr>
        <w:t>详细评分细则：</w:t>
      </w:r>
    </w:p>
    <w:tbl>
      <w:tblPr>
        <w:tblpPr w:leftFromText="180" w:rightFromText="180" w:vertAnchor="text" w:horzAnchor="page" w:tblpX="1352" w:tblpY="890"/>
        <w:tblOverlap w:val="neve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42"/>
        <w:gridCol w:w="1269"/>
        <w:gridCol w:w="975"/>
        <w:gridCol w:w="5954"/>
      </w:tblGrid>
      <w:tr w:rsidR="00745666" w:rsidTr="00986827">
        <w:trPr>
          <w:trHeight w:val="810"/>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序号</w:t>
            </w:r>
          </w:p>
        </w:tc>
        <w:tc>
          <w:tcPr>
            <w:tcW w:w="1269"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评分内容</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分值分配</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评分标准</w:t>
            </w:r>
          </w:p>
        </w:tc>
      </w:tr>
      <w:tr w:rsidR="00745666" w:rsidTr="00986827">
        <w:trPr>
          <w:trHeight w:val="449"/>
        </w:trPr>
        <w:tc>
          <w:tcPr>
            <w:tcW w:w="9240" w:type="dxa"/>
            <w:gridSpan w:val="4"/>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报价部分（40分）</w:t>
            </w:r>
          </w:p>
        </w:tc>
      </w:tr>
      <w:tr w:rsidR="00745666" w:rsidTr="00986827">
        <w:trPr>
          <w:trHeight w:val="1141"/>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p>
        </w:tc>
        <w:tc>
          <w:tcPr>
            <w:tcW w:w="1269"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投标报价</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40分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ind w:firstLineChars="200" w:firstLine="560"/>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价格分采用低价优先法计算，即满足招标文件要求的前提下，最低有效投标报价作为评标基准价，其价格分为满分。其余供应</w:t>
            </w:r>
            <w:proofErr w:type="gramStart"/>
            <w:r>
              <w:rPr>
                <w:rFonts w:ascii="华文中宋" w:eastAsia="华文中宋" w:hAnsi="华文中宋" w:cs="华文中宋" w:hint="eastAsia"/>
                <w:sz w:val="28"/>
                <w:szCs w:val="28"/>
                <w:lang w:val="en-US"/>
              </w:rPr>
              <w:t>商价格分统一</w:t>
            </w:r>
            <w:proofErr w:type="gramEnd"/>
            <w:r>
              <w:rPr>
                <w:rFonts w:ascii="华文中宋" w:eastAsia="华文中宋" w:hAnsi="华文中宋" w:cs="华文中宋" w:hint="eastAsia"/>
                <w:sz w:val="28"/>
                <w:szCs w:val="28"/>
                <w:lang w:val="en-US"/>
              </w:rPr>
              <w:t>按照下列公式计算：投标报价得分＝（评标基准价／有效投标报价）×满分分值。</w:t>
            </w:r>
          </w:p>
        </w:tc>
      </w:tr>
      <w:tr w:rsidR="00745666" w:rsidTr="00986827">
        <w:trPr>
          <w:trHeight w:val="534"/>
        </w:trPr>
        <w:tc>
          <w:tcPr>
            <w:tcW w:w="9240" w:type="dxa"/>
            <w:gridSpan w:val="4"/>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技术部分（满分25分）</w:t>
            </w:r>
          </w:p>
        </w:tc>
      </w:tr>
      <w:tr w:rsidR="00745666" w:rsidTr="00986827">
        <w:trPr>
          <w:trHeight w:val="1001"/>
        </w:trPr>
        <w:tc>
          <w:tcPr>
            <w:tcW w:w="1042" w:type="dxa"/>
            <w:tcBorders>
              <w:tl2br w:val="nil"/>
              <w:tr2bl w:val="nil"/>
            </w:tcBorders>
            <w:tcMar>
              <w:top w:w="15" w:type="dxa"/>
              <w:left w:w="15" w:type="dxa"/>
              <w:right w:w="15" w:type="dxa"/>
            </w:tcMar>
            <w:vAlign w:val="center"/>
          </w:tcPr>
          <w:p w:rsidR="00745666" w:rsidRDefault="00745666" w:rsidP="00180A16">
            <w:pPr>
              <w:pStyle w:val="a3"/>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p>
        </w:tc>
        <w:tc>
          <w:tcPr>
            <w:tcW w:w="1269" w:type="dxa"/>
            <w:tcBorders>
              <w:tl2br w:val="nil"/>
              <w:tr2bl w:val="nil"/>
            </w:tcBorders>
            <w:tcMar>
              <w:top w:w="15" w:type="dxa"/>
              <w:left w:w="15" w:type="dxa"/>
              <w:right w:w="15" w:type="dxa"/>
            </w:tcMar>
            <w:vAlign w:val="center"/>
          </w:tcPr>
          <w:p w:rsidR="00745666" w:rsidRDefault="00812FA3"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改造</w:t>
            </w:r>
            <w:r w:rsidR="00745666">
              <w:rPr>
                <w:rFonts w:ascii="华文中宋" w:eastAsia="华文中宋" w:hAnsi="华文中宋" w:cs="华文中宋" w:hint="eastAsia"/>
                <w:sz w:val="28"/>
                <w:szCs w:val="28"/>
                <w:lang w:val="en-US"/>
              </w:rPr>
              <w:t>方案</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25分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评标委员会</w:t>
            </w:r>
            <w:r>
              <w:rPr>
                <w:rFonts w:ascii="华文中宋" w:eastAsia="华文中宋" w:hAnsi="华文中宋" w:cs="华文中宋"/>
                <w:sz w:val="28"/>
                <w:szCs w:val="28"/>
                <w:lang w:val="en-US"/>
              </w:rPr>
              <w:t>根据供应商提供的方案内容进行综合评分。</w:t>
            </w:r>
          </w:p>
          <w:p w:rsidR="00745666" w:rsidRDefault="00745666" w:rsidP="00180A16">
            <w:pPr>
              <w:spacing w:line="400" w:lineRule="exact"/>
              <w:rPr>
                <w:rFonts w:ascii="华文中宋" w:eastAsia="华文中宋" w:hAnsi="华文中宋" w:cs="华文中宋"/>
                <w:b/>
                <w:bCs/>
                <w:sz w:val="28"/>
                <w:szCs w:val="28"/>
                <w:lang w:val="en-US"/>
              </w:rPr>
            </w:pPr>
            <w:r>
              <w:rPr>
                <w:rFonts w:ascii="华文中宋" w:eastAsia="华文中宋" w:hAnsi="华文中宋" w:cs="华文中宋" w:hint="eastAsia"/>
                <w:b/>
                <w:bCs/>
                <w:sz w:val="28"/>
                <w:szCs w:val="28"/>
                <w:lang w:val="en-US"/>
              </w:rPr>
              <w:t>1、</w:t>
            </w:r>
            <w:r w:rsidR="00812FA3">
              <w:rPr>
                <w:rFonts w:ascii="华文中宋" w:eastAsia="华文中宋" w:hAnsi="华文中宋" w:cs="华文中宋" w:hint="eastAsia"/>
                <w:b/>
                <w:bCs/>
                <w:sz w:val="28"/>
                <w:szCs w:val="28"/>
                <w:lang w:val="en-US"/>
              </w:rPr>
              <w:t>改造安装</w:t>
            </w:r>
            <w:r>
              <w:rPr>
                <w:rFonts w:ascii="华文中宋" w:eastAsia="华文中宋" w:hAnsi="华文中宋" w:cs="华文中宋" w:hint="eastAsia"/>
                <w:b/>
                <w:bCs/>
                <w:sz w:val="28"/>
                <w:szCs w:val="28"/>
                <w:lang w:val="en-US"/>
              </w:rPr>
              <w:t>方案</w:t>
            </w:r>
            <w:r>
              <w:rPr>
                <w:rFonts w:ascii="华文中宋" w:eastAsia="华文中宋" w:hAnsi="华文中宋" w:cs="华文中宋"/>
                <w:b/>
                <w:bCs/>
                <w:sz w:val="28"/>
                <w:szCs w:val="28"/>
                <w:lang w:val="en-US"/>
              </w:rPr>
              <w:t>(</w:t>
            </w:r>
            <w:r>
              <w:rPr>
                <w:rFonts w:ascii="华文中宋" w:eastAsia="华文中宋" w:hAnsi="华文中宋" w:cs="华文中宋" w:hint="eastAsia"/>
                <w:b/>
                <w:bCs/>
                <w:sz w:val="28"/>
                <w:szCs w:val="28"/>
                <w:lang w:val="en-US"/>
              </w:rPr>
              <w:t>7</w:t>
            </w:r>
            <w:r>
              <w:rPr>
                <w:rFonts w:ascii="华文中宋" w:eastAsia="华文中宋" w:hAnsi="华文中宋" w:cs="华文中宋"/>
                <w:b/>
                <w:bCs/>
                <w:sz w:val="28"/>
                <w:szCs w:val="28"/>
                <w:lang w:val="en-US"/>
              </w:rPr>
              <w:t>分)</w:t>
            </w:r>
            <w:r>
              <w:rPr>
                <w:rFonts w:ascii="华文中宋" w:eastAsia="华文中宋" w:hAnsi="华文中宋" w:cs="华文中宋" w:hint="eastAsia"/>
                <w:b/>
                <w:bCs/>
                <w:sz w:val="28"/>
                <w:szCs w:val="28"/>
                <w:lang w:val="en-US"/>
              </w:rPr>
              <w:t>：</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r>
              <w:rPr>
                <w:rFonts w:ascii="华文中宋" w:eastAsia="华文中宋" w:hAnsi="华文中宋" w:cs="华文中宋"/>
                <w:sz w:val="28"/>
                <w:szCs w:val="28"/>
                <w:lang w:val="en-US"/>
              </w:rPr>
              <w:t>方案内容完整、有针对性、合理、可行，得</w:t>
            </w:r>
            <w:r>
              <w:rPr>
                <w:rFonts w:ascii="华文中宋" w:eastAsia="华文中宋" w:hAnsi="华文中宋" w:cs="华文中宋" w:hint="eastAsia"/>
                <w:sz w:val="28"/>
                <w:szCs w:val="28"/>
                <w:lang w:val="en-US"/>
              </w:rPr>
              <w:t>7</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5</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r>
              <w:rPr>
                <w:rFonts w:ascii="华文中宋" w:eastAsia="华文中宋" w:hAnsi="华文中宋" w:cs="华文中宋"/>
                <w:sz w:val="28"/>
                <w:szCs w:val="28"/>
                <w:lang w:val="en-US"/>
              </w:rPr>
              <w:t>方案内容完整、针对性一般，合理性一般、可行性一般，得</w:t>
            </w:r>
            <w:r>
              <w:rPr>
                <w:rFonts w:ascii="华文中宋" w:eastAsia="华文中宋" w:hAnsi="华文中宋" w:cs="华文中宋" w:hint="eastAsia"/>
                <w:sz w:val="28"/>
                <w:szCs w:val="28"/>
                <w:lang w:val="en-US"/>
              </w:rPr>
              <w:t>4.9</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3</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r>
              <w:rPr>
                <w:rFonts w:ascii="华文中宋" w:eastAsia="华文中宋" w:hAnsi="华文中宋" w:cs="华文中宋"/>
                <w:sz w:val="28"/>
                <w:szCs w:val="28"/>
                <w:lang w:val="en-US"/>
              </w:rPr>
              <w:t>方案内容不完整</w:t>
            </w:r>
            <w:r>
              <w:rPr>
                <w:rFonts w:ascii="华文中宋" w:eastAsia="华文中宋" w:hAnsi="华文中宋" w:cs="华文中宋" w:hint="eastAsia"/>
                <w:sz w:val="28"/>
                <w:szCs w:val="28"/>
                <w:lang w:val="en-US"/>
              </w:rPr>
              <w:t>得2.9-1分；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w:t>
            </w:r>
            <w:r>
              <w:rPr>
                <w:rFonts w:ascii="华文中宋" w:eastAsia="华文中宋" w:hAnsi="华文中宋" w:cs="华文中宋"/>
                <w:sz w:val="28"/>
                <w:szCs w:val="28"/>
                <w:lang w:val="en-US"/>
              </w:rPr>
              <w:t>未提供</w:t>
            </w:r>
            <w:r>
              <w:rPr>
                <w:rFonts w:ascii="华文中宋" w:eastAsia="华文中宋" w:hAnsi="华文中宋" w:cs="华文中宋" w:hint="eastAsia"/>
                <w:sz w:val="28"/>
                <w:szCs w:val="28"/>
                <w:lang w:val="en-US"/>
              </w:rPr>
              <w:t>方案</w:t>
            </w:r>
            <w:r>
              <w:rPr>
                <w:rFonts w:ascii="华文中宋" w:eastAsia="华文中宋" w:hAnsi="华文中宋" w:cs="华文中宋"/>
                <w:sz w:val="28"/>
                <w:szCs w:val="28"/>
                <w:lang w:val="en-US"/>
              </w:rPr>
              <w:t>，得0分。</w:t>
            </w:r>
          </w:p>
          <w:p w:rsidR="00745666" w:rsidRDefault="00745666" w:rsidP="00180A16">
            <w:pPr>
              <w:spacing w:line="400" w:lineRule="exact"/>
              <w:rPr>
                <w:rFonts w:ascii="华文中宋" w:eastAsia="华文中宋" w:hAnsi="华文中宋" w:cs="华文中宋"/>
                <w:b/>
                <w:bCs/>
                <w:sz w:val="28"/>
                <w:szCs w:val="28"/>
                <w:lang w:val="en-US"/>
              </w:rPr>
            </w:pPr>
            <w:r>
              <w:rPr>
                <w:rFonts w:ascii="华文中宋" w:eastAsia="华文中宋" w:hAnsi="华文中宋" w:cs="华文中宋" w:hint="eastAsia"/>
                <w:b/>
                <w:bCs/>
                <w:sz w:val="28"/>
                <w:szCs w:val="28"/>
                <w:lang w:val="en-US"/>
              </w:rPr>
              <w:t>2、</w:t>
            </w:r>
            <w:r w:rsidR="00943234">
              <w:rPr>
                <w:rFonts w:ascii="华文中宋" w:eastAsia="华文中宋" w:hAnsi="华文中宋" w:cs="华文中宋" w:hint="eastAsia"/>
                <w:b/>
                <w:bCs/>
                <w:sz w:val="28"/>
                <w:szCs w:val="28"/>
                <w:lang w:val="en-US"/>
              </w:rPr>
              <w:t>改造材料选择</w:t>
            </w:r>
            <w:r>
              <w:rPr>
                <w:rFonts w:ascii="华文中宋" w:eastAsia="华文中宋" w:hAnsi="华文中宋" w:cs="华文中宋"/>
                <w:b/>
                <w:bCs/>
                <w:sz w:val="28"/>
                <w:szCs w:val="28"/>
                <w:lang w:val="en-US"/>
              </w:rPr>
              <w:t>(</w:t>
            </w:r>
            <w:r>
              <w:rPr>
                <w:rFonts w:ascii="华文中宋" w:eastAsia="华文中宋" w:hAnsi="华文中宋" w:cs="华文中宋" w:hint="eastAsia"/>
                <w:b/>
                <w:bCs/>
                <w:sz w:val="28"/>
                <w:szCs w:val="28"/>
                <w:lang w:val="en-US"/>
              </w:rPr>
              <w:t>6</w:t>
            </w:r>
            <w:r>
              <w:rPr>
                <w:rFonts w:ascii="华文中宋" w:eastAsia="华文中宋" w:hAnsi="华文中宋" w:cs="华文中宋"/>
                <w:b/>
                <w:bCs/>
                <w:sz w:val="28"/>
                <w:szCs w:val="28"/>
                <w:lang w:val="en-US"/>
              </w:rPr>
              <w:t>分)</w:t>
            </w:r>
            <w:r>
              <w:rPr>
                <w:rFonts w:ascii="华文中宋" w:eastAsia="华文中宋" w:hAnsi="华文中宋" w:cs="华文中宋" w:hint="eastAsia"/>
                <w:b/>
                <w:bCs/>
                <w:sz w:val="28"/>
                <w:szCs w:val="28"/>
                <w:lang w:val="en-US"/>
              </w:rPr>
              <w:t>：</w:t>
            </w:r>
          </w:p>
          <w:p w:rsidR="00943234" w:rsidRDefault="006600B4"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r w:rsidR="00943234">
              <w:rPr>
                <w:rFonts w:ascii="华文中宋" w:eastAsia="华文中宋" w:hAnsi="华文中宋" w:cs="华文中宋" w:hint="eastAsia"/>
                <w:sz w:val="28"/>
                <w:szCs w:val="28"/>
                <w:lang w:val="en-US"/>
              </w:rPr>
              <w:t>选</w:t>
            </w:r>
            <w:r>
              <w:rPr>
                <w:rFonts w:ascii="华文中宋" w:eastAsia="华文中宋" w:hAnsi="华文中宋" w:cs="华文中宋" w:hint="eastAsia"/>
                <w:sz w:val="28"/>
                <w:szCs w:val="28"/>
                <w:lang w:val="en-US"/>
              </w:rPr>
              <w:t>用</w:t>
            </w:r>
            <w:r w:rsidR="00943234">
              <w:rPr>
                <w:rFonts w:ascii="华文中宋" w:eastAsia="华文中宋" w:hAnsi="华文中宋" w:cs="华文中宋" w:hint="eastAsia"/>
                <w:sz w:val="28"/>
                <w:szCs w:val="28"/>
                <w:lang w:val="en-US"/>
              </w:rPr>
              <w:t>一线品牌材料得</w:t>
            </w:r>
            <w:r>
              <w:rPr>
                <w:rFonts w:ascii="华文中宋" w:eastAsia="华文中宋" w:hAnsi="华文中宋" w:cs="华文中宋" w:hint="eastAsia"/>
                <w:sz w:val="28"/>
                <w:szCs w:val="28"/>
                <w:lang w:val="en-US"/>
              </w:rPr>
              <w:t>3</w:t>
            </w:r>
            <w:r w:rsidR="00943234">
              <w:rPr>
                <w:rFonts w:ascii="华文中宋" w:eastAsia="华文中宋" w:hAnsi="华文中宋" w:cs="华文中宋" w:hint="eastAsia"/>
                <w:sz w:val="28"/>
                <w:szCs w:val="28"/>
                <w:lang w:val="en-US"/>
              </w:rPr>
              <w:t>-6分</w:t>
            </w:r>
          </w:p>
          <w:p w:rsidR="006600B4" w:rsidRDefault="006600B4"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（2）选用二线品牌材料得0-2.9分</w:t>
            </w:r>
          </w:p>
          <w:p w:rsidR="00745666" w:rsidRDefault="00745666" w:rsidP="00180A16">
            <w:pPr>
              <w:spacing w:line="400" w:lineRule="exact"/>
              <w:rPr>
                <w:rFonts w:ascii="华文中宋" w:eastAsia="华文中宋" w:hAnsi="华文中宋" w:cs="华文中宋"/>
                <w:b/>
                <w:bCs/>
                <w:sz w:val="28"/>
                <w:szCs w:val="28"/>
                <w:lang w:val="en-US"/>
              </w:rPr>
            </w:pPr>
            <w:r>
              <w:rPr>
                <w:rFonts w:ascii="华文中宋" w:eastAsia="华文中宋" w:hAnsi="华文中宋" w:cs="华文中宋" w:hint="eastAsia"/>
                <w:b/>
                <w:bCs/>
                <w:sz w:val="28"/>
                <w:szCs w:val="28"/>
                <w:lang w:val="en-US"/>
              </w:rPr>
              <w:t>3、</w:t>
            </w:r>
            <w:r w:rsidR="006600B4">
              <w:rPr>
                <w:rFonts w:ascii="华文中宋" w:eastAsia="华文中宋" w:hAnsi="华文中宋" w:cs="华文中宋" w:hint="eastAsia"/>
                <w:b/>
                <w:bCs/>
                <w:sz w:val="28"/>
                <w:szCs w:val="28"/>
                <w:lang w:val="en-US"/>
              </w:rPr>
              <w:t>施工保护</w:t>
            </w:r>
            <w:r>
              <w:rPr>
                <w:rFonts w:ascii="华文中宋" w:eastAsia="华文中宋" w:hAnsi="华文中宋" w:cs="华文中宋" w:hint="eastAsia"/>
                <w:b/>
                <w:bCs/>
                <w:sz w:val="28"/>
                <w:szCs w:val="28"/>
                <w:lang w:val="en-US"/>
              </w:rPr>
              <w:t>措施</w:t>
            </w:r>
            <w:r>
              <w:rPr>
                <w:rFonts w:ascii="华文中宋" w:eastAsia="华文中宋" w:hAnsi="华文中宋" w:cs="华文中宋"/>
                <w:b/>
                <w:bCs/>
                <w:sz w:val="28"/>
                <w:szCs w:val="28"/>
                <w:lang w:val="en-US"/>
              </w:rPr>
              <w:t>(</w:t>
            </w:r>
            <w:r>
              <w:rPr>
                <w:rFonts w:ascii="华文中宋" w:eastAsia="华文中宋" w:hAnsi="华文中宋" w:cs="华文中宋" w:hint="eastAsia"/>
                <w:b/>
                <w:bCs/>
                <w:sz w:val="28"/>
                <w:szCs w:val="28"/>
                <w:lang w:val="en-US"/>
              </w:rPr>
              <w:t>6</w:t>
            </w:r>
            <w:r>
              <w:rPr>
                <w:rFonts w:ascii="华文中宋" w:eastAsia="华文中宋" w:hAnsi="华文中宋" w:cs="华文中宋"/>
                <w:b/>
                <w:bCs/>
                <w:sz w:val="28"/>
                <w:szCs w:val="28"/>
                <w:lang w:val="en-US"/>
              </w:rPr>
              <w:t>分)</w:t>
            </w:r>
            <w:r>
              <w:rPr>
                <w:rFonts w:ascii="华文中宋" w:eastAsia="华文中宋" w:hAnsi="华文中宋" w:cs="华文中宋" w:hint="eastAsia"/>
                <w:b/>
                <w:bCs/>
                <w:sz w:val="28"/>
                <w:szCs w:val="28"/>
                <w:lang w:val="en-US"/>
              </w:rPr>
              <w:t>：</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r>
              <w:rPr>
                <w:rFonts w:ascii="华文中宋" w:eastAsia="华文中宋" w:hAnsi="华文中宋" w:cs="华文中宋"/>
                <w:sz w:val="28"/>
                <w:szCs w:val="28"/>
                <w:lang w:val="en-US"/>
              </w:rPr>
              <w:t>方案内容完整、有针对性、合理、可行，得</w:t>
            </w:r>
            <w:r>
              <w:rPr>
                <w:rFonts w:ascii="华文中宋" w:eastAsia="华文中宋" w:hAnsi="华文中宋" w:cs="华文中宋" w:hint="eastAsia"/>
                <w:sz w:val="28"/>
                <w:szCs w:val="28"/>
                <w:lang w:val="en-US"/>
              </w:rPr>
              <w:t>6</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4</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r>
              <w:rPr>
                <w:rFonts w:ascii="华文中宋" w:eastAsia="华文中宋" w:hAnsi="华文中宋" w:cs="华文中宋"/>
                <w:sz w:val="28"/>
                <w:szCs w:val="28"/>
                <w:lang w:val="en-US"/>
              </w:rPr>
              <w:t>方案内容完整、针对性一般，合理性一般、可行性一般，得</w:t>
            </w:r>
            <w:r>
              <w:rPr>
                <w:rFonts w:ascii="华文中宋" w:eastAsia="华文中宋" w:hAnsi="华文中宋" w:cs="华文中宋" w:hint="eastAsia"/>
                <w:sz w:val="28"/>
                <w:szCs w:val="28"/>
                <w:lang w:val="en-US"/>
              </w:rPr>
              <w:t>3.9</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2</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r>
              <w:rPr>
                <w:rFonts w:ascii="华文中宋" w:eastAsia="华文中宋" w:hAnsi="华文中宋" w:cs="华文中宋"/>
                <w:sz w:val="28"/>
                <w:szCs w:val="28"/>
                <w:lang w:val="en-US"/>
              </w:rPr>
              <w:t>方案内容不完整</w:t>
            </w:r>
            <w:r>
              <w:rPr>
                <w:rFonts w:ascii="华文中宋" w:eastAsia="华文中宋" w:hAnsi="华文中宋" w:cs="华文中宋" w:hint="eastAsia"/>
                <w:sz w:val="28"/>
                <w:szCs w:val="28"/>
                <w:lang w:val="en-US"/>
              </w:rPr>
              <w:t>得1.9-0.5分；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w:t>
            </w:r>
            <w:r>
              <w:rPr>
                <w:rFonts w:ascii="华文中宋" w:eastAsia="华文中宋" w:hAnsi="华文中宋" w:cs="华文中宋"/>
                <w:sz w:val="28"/>
                <w:szCs w:val="28"/>
                <w:lang w:val="en-US"/>
              </w:rPr>
              <w:t>未提供</w:t>
            </w:r>
            <w:r>
              <w:rPr>
                <w:rFonts w:ascii="华文中宋" w:eastAsia="华文中宋" w:hAnsi="华文中宋" w:cs="华文中宋" w:hint="eastAsia"/>
                <w:sz w:val="28"/>
                <w:szCs w:val="28"/>
                <w:lang w:val="en-US"/>
              </w:rPr>
              <w:t>方案</w:t>
            </w:r>
            <w:r>
              <w:rPr>
                <w:rFonts w:ascii="华文中宋" w:eastAsia="华文中宋" w:hAnsi="华文中宋" w:cs="华文中宋"/>
                <w:sz w:val="28"/>
                <w:szCs w:val="28"/>
                <w:lang w:val="en-US"/>
              </w:rPr>
              <w:t>，得0分。</w:t>
            </w:r>
          </w:p>
          <w:p w:rsidR="00745666" w:rsidRDefault="00745666" w:rsidP="00180A16">
            <w:pPr>
              <w:spacing w:line="400" w:lineRule="exact"/>
              <w:rPr>
                <w:rFonts w:ascii="华文中宋" w:eastAsia="华文中宋" w:hAnsi="华文中宋" w:cs="华文中宋"/>
                <w:b/>
                <w:bCs/>
                <w:sz w:val="28"/>
                <w:szCs w:val="28"/>
                <w:lang w:val="en-US"/>
              </w:rPr>
            </w:pPr>
            <w:r>
              <w:rPr>
                <w:rFonts w:ascii="华文中宋" w:eastAsia="华文中宋" w:hAnsi="华文中宋" w:cs="华文中宋" w:hint="eastAsia"/>
                <w:b/>
                <w:bCs/>
                <w:sz w:val="28"/>
                <w:szCs w:val="28"/>
                <w:lang w:val="en-US"/>
              </w:rPr>
              <w:lastRenderedPageBreak/>
              <w:t>4、应急方案（6分）：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r>
              <w:rPr>
                <w:rFonts w:ascii="华文中宋" w:eastAsia="华文中宋" w:hAnsi="华文中宋" w:cs="华文中宋"/>
                <w:sz w:val="28"/>
                <w:szCs w:val="28"/>
                <w:lang w:val="en-US"/>
              </w:rPr>
              <w:t>方案内容完整、有针对性、合理、可行，得</w:t>
            </w:r>
            <w:r>
              <w:rPr>
                <w:rFonts w:ascii="华文中宋" w:eastAsia="华文中宋" w:hAnsi="华文中宋" w:cs="华文中宋" w:hint="eastAsia"/>
                <w:sz w:val="28"/>
                <w:szCs w:val="28"/>
                <w:lang w:val="en-US"/>
              </w:rPr>
              <w:t>6</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4</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r>
              <w:rPr>
                <w:rFonts w:ascii="华文中宋" w:eastAsia="华文中宋" w:hAnsi="华文中宋" w:cs="华文中宋"/>
                <w:sz w:val="28"/>
                <w:szCs w:val="28"/>
                <w:lang w:val="en-US"/>
              </w:rPr>
              <w:t>方案内容完整、针对性一般，合理性一般、可行性一般，得</w:t>
            </w:r>
            <w:r>
              <w:rPr>
                <w:rFonts w:ascii="华文中宋" w:eastAsia="华文中宋" w:hAnsi="华文中宋" w:cs="华文中宋" w:hint="eastAsia"/>
                <w:sz w:val="28"/>
                <w:szCs w:val="28"/>
                <w:lang w:val="en-US"/>
              </w:rPr>
              <w:t>3.9</w:t>
            </w: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2</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r>
              <w:rPr>
                <w:rFonts w:ascii="华文中宋" w:eastAsia="华文中宋" w:hAnsi="华文中宋" w:cs="华文中宋"/>
                <w:sz w:val="28"/>
                <w:szCs w:val="28"/>
                <w:lang w:val="en-US"/>
              </w:rPr>
              <w:t>方案内容不完整</w:t>
            </w:r>
            <w:r>
              <w:rPr>
                <w:rFonts w:ascii="华文中宋" w:eastAsia="华文中宋" w:hAnsi="华文中宋" w:cs="华文中宋" w:hint="eastAsia"/>
                <w:sz w:val="28"/>
                <w:szCs w:val="28"/>
                <w:lang w:val="en-US"/>
              </w:rPr>
              <w:t>得1.9-0.5分；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（4）</w:t>
            </w:r>
            <w:r>
              <w:rPr>
                <w:rFonts w:ascii="华文中宋" w:eastAsia="华文中宋" w:hAnsi="华文中宋" w:cs="华文中宋"/>
                <w:sz w:val="28"/>
                <w:szCs w:val="28"/>
                <w:lang w:val="en-US"/>
              </w:rPr>
              <w:t>未提供</w:t>
            </w:r>
            <w:r>
              <w:rPr>
                <w:rFonts w:ascii="华文中宋" w:eastAsia="华文中宋" w:hAnsi="华文中宋" w:cs="华文中宋" w:hint="eastAsia"/>
                <w:sz w:val="28"/>
                <w:szCs w:val="28"/>
                <w:lang w:val="en-US"/>
              </w:rPr>
              <w:t>方案</w:t>
            </w:r>
            <w:r>
              <w:rPr>
                <w:rFonts w:ascii="华文中宋" w:eastAsia="华文中宋" w:hAnsi="华文中宋" w:cs="华文中宋"/>
                <w:sz w:val="28"/>
                <w:szCs w:val="28"/>
                <w:lang w:val="en-US"/>
              </w:rPr>
              <w:t>，得0分。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注：上述评分中方案“完整、有针对性、合理、可行”指：</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a.提供的方案基于采购服务需求，提出具有可行性的现状情况预判；</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b.准确把握方案中的重、难点，分析各类情况可能发生的不可预见性，并尽可能列明多种详细预案；</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c.针对不同的服务需求，能提供个性化的服务解决方案，可以举例论证；</w:t>
            </w:r>
          </w:p>
          <w:p w:rsidR="00745666" w:rsidRDefault="00745666" w:rsidP="00180A16">
            <w:pPr>
              <w:pStyle w:val="TOC1"/>
              <w:spacing w:line="400" w:lineRule="exact"/>
              <w:jc w:val="left"/>
              <w:rPr>
                <w:rFonts w:ascii="华文中宋" w:eastAsia="华文中宋" w:hAnsi="华文中宋" w:cs="华文中宋"/>
                <w:sz w:val="28"/>
                <w:szCs w:val="28"/>
                <w:lang w:val="en-US"/>
              </w:rPr>
            </w:pPr>
            <w:r>
              <w:rPr>
                <w:rFonts w:ascii="华文中宋" w:eastAsia="华文中宋" w:hAnsi="华文中宋" w:cs="华文中宋"/>
                <w:sz w:val="28"/>
                <w:szCs w:val="28"/>
                <w:lang w:val="en-US"/>
              </w:rPr>
              <w:t>d.对于资料、数据等响应方案的支持材料提供详细、具体，具有一定的论证支持性。</w:t>
            </w:r>
          </w:p>
        </w:tc>
      </w:tr>
      <w:tr w:rsidR="00745666" w:rsidTr="00986827">
        <w:trPr>
          <w:trHeight w:val="573"/>
        </w:trPr>
        <w:tc>
          <w:tcPr>
            <w:tcW w:w="9240" w:type="dxa"/>
            <w:gridSpan w:val="4"/>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rPr>
            </w:pPr>
            <w:r>
              <w:rPr>
                <w:rFonts w:ascii="华文中宋" w:eastAsia="华文中宋" w:hAnsi="华文中宋" w:cs="华文中宋" w:hint="eastAsia"/>
                <w:sz w:val="28"/>
                <w:szCs w:val="28"/>
                <w:lang w:val="en-US"/>
              </w:rPr>
              <w:lastRenderedPageBreak/>
              <w:t>商务部分（35分）</w:t>
            </w:r>
          </w:p>
        </w:tc>
      </w:tr>
      <w:tr w:rsidR="00745666" w:rsidTr="00986827">
        <w:trPr>
          <w:trHeight w:val="840"/>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p>
        </w:tc>
        <w:tc>
          <w:tcPr>
            <w:tcW w:w="1269"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人员配置</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情况</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12分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w:t>
            </w:r>
            <w:r>
              <w:rPr>
                <w:rFonts w:ascii="华文中宋" w:eastAsia="华文中宋" w:hAnsi="华文中宋" w:cs="华文中宋"/>
                <w:sz w:val="28"/>
                <w:szCs w:val="28"/>
                <w:lang w:val="en-US"/>
              </w:rPr>
              <w:t>项目负责人</w:t>
            </w:r>
            <w:r>
              <w:rPr>
                <w:rFonts w:ascii="华文中宋" w:eastAsia="华文中宋" w:hAnsi="华文中宋" w:cs="华文中宋" w:hint="eastAsia"/>
                <w:sz w:val="28"/>
                <w:szCs w:val="28"/>
                <w:lang w:val="en-US"/>
              </w:rPr>
              <w:t>（1人）：</w:t>
            </w:r>
            <w:r>
              <w:rPr>
                <w:rFonts w:ascii="华文中宋" w:eastAsia="华文中宋" w:hAnsi="华文中宋" w:cs="华文中宋"/>
                <w:sz w:val="28"/>
                <w:szCs w:val="28"/>
                <w:lang w:val="en-US"/>
              </w:rPr>
              <w:t>拟派的项目负责人应为投标单位在职人员，提供社保缴纳证明材料。全部符合要求的得</w:t>
            </w:r>
            <w:r>
              <w:rPr>
                <w:rFonts w:ascii="华文中宋" w:eastAsia="华文中宋" w:hAnsi="华文中宋" w:cs="华文中宋" w:hint="eastAsia"/>
                <w:sz w:val="28"/>
                <w:szCs w:val="28"/>
                <w:lang w:val="en-US"/>
              </w:rPr>
              <w:t>6</w:t>
            </w:r>
            <w:r>
              <w:rPr>
                <w:rFonts w:ascii="华文中宋" w:eastAsia="华文中宋" w:hAnsi="华文中宋" w:cs="华文中宋"/>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w:t>
            </w:r>
            <w:r>
              <w:rPr>
                <w:rFonts w:ascii="华文中宋" w:eastAsia="华文中宋" w:hAnsi="华文中宋" w:cs="华文中宋" w:hint="eastAsia"/>
                <w:sz w:val="28"/>
                <w:szCs w:val="28"/>
                <w:lang w:val="en-US"/>
              </w:rPr>
              <w:t>注：</w:t>
            </w:r>
            <w:r>
              <w:rPr>
                <w:rFonts w:ascii="华文中宋" w:eastAsia="华文中宋" w:hAnsi="华文中宋" w:cs="华文中宋"/>
                <w:sz w:val="28"/>
                <w:szCs w:val="28"/>
                <w:lang w:val="en-US"/>
              </w:rPr>
              <w:t>社保缴纳时间为202</w:t>
            </w:r>
            <w:r>
              <w:rPr>
                <w:rFonts w:ascii="华文中宋" w:eastAsia="华文中宋" w:hAnsi="华文中宋" w:cs="华文中宋" w:hint="eastAsia"/>
                <w:sz w:val="28"/>
                <w:szCs w:val="28"/>
                <w:lang w:val="en-US"/>
              </w:rPr>
              <w:t>5</w:t>
            </w:r>
            <w:r>
              <w:rPr>
                <w:rFonts w:ascii="华文中宋" w:eastAsia="华文中宋" w:hAnsi="华文中宋" w:cs="华文中宋"/>
                <w:sz w:val="28"/>
                <w:szCs w:val="28"/>
                <w:lang w:val="en-US"/>
              </w:rPr>
              <w:t>年任意1个月以上）</w:t>
            </w:r>
          </w:p>
          <w:p w:rsidR="00745666" w:rsidRPr="006600B4"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r w:rsidR="006600B4">
              <w:rPr>
                <w:rFonts w:ascii="华文中宋" w:eastAsia="华文中宋" w:hAnsi="华文中宋" w:cs="华文中宋" w:hint="eastAsia"/>
                <w:sz w:val="28"/>
                <w:szCs w:val="28"/>
                <w:lang w:val="en-US"/>
              </w:rPr>
              <w:t>施工</w:t>
            </w:r>
            <w:r>
              <w:rPr>
                <w:rFonts w:ascii="华文中宋" w:eastAsia="华文中宋" w:hAnsi="华文中宋" w:cs="华文中宋" w:hint="eastAsia"/>
                <w:sz w:val="28"/>
                <w:szCs w:val="28"/>
                <w:lang w:val="en-US"/>
              </w:rPr>
              <w:t>人员：</w:t>
            </w:r>
            <w:r w:rsidR="006600B4">
              <w:rPr>
                <w:rFonts w:ascii="华文中宋" w:eastAsia="华文中宋" w:hAnsi="华文中宋" w:cs="华文中宋" w:hint="eastAsia"/>
                <w:sz w:val="28"/>
                <w:szCs w:val="28"/>
                <w:lang w:val="en-US"/>
              </w:rPr>
              <w:t>承诺提供10人以上施工人员得6分</w:t>
            </w:r>
            <w:r>
              <w:rPr>
                <w:rFonts w:ascii="华文中宋" w:eastAsia="华文中宋" w:hAnsi="华文中宋" w:cs="华文中宋"/>
                <w:sz w:val="28"/>
                <w:szCs w:val="28"/>
                <w:lang w:val="en-US"/>
              </w:rPr>
              <w:t>。</w:t>
            </w:r>
          </w:p>
        </w:tc>
      </w:tr>
      <w:tr w:rsidR="00745666" w:rsidTr="00986827">
        <w:trPr>
          <w:trHeight w:val="253"/>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w:t>
            </w:r>
          </w:p>
        </w:tc>
        <w:tc>
          <w:tcPr>
            <w:tcW w:w="1269" w:type="dxa"/>
            <w:tcBorders>
              <w:tl2br w:val="nil"/>
              <w:tr2bl w:val="nil"/>
            </w:tcBorders>
            <w:tcMar>
              <w:top w:w="15" w:type="dxa"/>
              <w:left w:w="15" w:type="dxa"/>
              <w:right w:w="15" w:type="dxa"/>
            </w:tcMar>
            <w:vAlign w:val="center"/>
          </w:tcPr>
          <w:p w:rsidR="00745666" w:rsidRDefault="006600B4"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资格证书</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5分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sz w:val="28"/>
                <w:szCs w:val="28"/>
                <w:lang w:val="en-US"/>
              </w:rPr>
              <w:t>提供</w:t>
            </w:r>
            <w:r w:rsidR="006600B4">
              <w:rPr>
                <w:rFonts w:ascii="华文中宋" w:eastAsia="华文中宋" w:hAnsi="华文中宋" w:cs="华文中宋" w:hint="eastAsia"/>
                <w:sz w:val="28"/>
                <w:szCs w:val="28"/>
                <w:lang w:val="en-US"/>
              </w:rPr>
              <w:t>具有供电系统改造资质证书（电工）</w:t>
            </w:r>
            <w:r>
              <w:rPr>
                <w:rFonts w:ascii="华文中宋" w:eastAsia="华文中宋" w:hAnsi="华文中宋" w:cs="华文中宋"/>
                <w:sz w:val="28"/>
                <w:szCs w:val="28"/>
                <w:lang w:val="en-US"/>
              </w:rPr>
              <w:t>得</w:t>
            </w:r>
            <w:r>
              <w:rPr>
                <w:rFonts w:ascii="华文中宋" w:eastAsia="华文中宋" w:hAnsi="华文中宋" w:cs="华文中宋" w:hint="eastAsia"/>
                <w:sz w:val="28"/>
                <w:szCs w:val="28"/>
                <w:lang w:val="en-US"/>
              </w:rPr>
              <w:t>5</w:t>
            </w:r>
            <w:r>
              <w:rPr>
                <w:rFonts w:ascii="华文中宋" w:eastAsia="华文中宋" w:hAnsi="华文中宋" w:cs="华文中宋"/>
                <w:sz w:val="28"/>
                <w:szCs w:val="28"/>
                <w:lang w:val="en-US"/>
              </w:rPr>
              <w:t>分</w:t>
            </w:r>
            <w:r>
              <w:rPr>
                <w:rFonts w:ascii="华文中宋" w:eastAsia="华文中宋" w:hAnsi="华文中宋" w:cs="华文中宋" w:hint="eastAsia"/>
                <w:sz w:val="28"/>
                <w:szCs w:val="28"/>
                <w:lang w:val="en-US"/>
              </w:rPr>
              <w:t>，</w:t>
            </w:r>
            <w:r>
              <w:rPr>
                <w:rFonts w:ascii="华文中宋" w:eastAsia="华文中宋" w:hAnsi="华文中宋" w:cs="华文中宋"/>
                <w:sz w:val="28"/>
                <w:szCs w:val="28"/>
                <w:lang w:val="en-US"/>
              </w:rPr>
              <w:t>不提供不得分。</w:t>
            </w:r>
          </w:p>
        </w:tc>
      </w:tr>
      <w:tr w:rsidR="00745666" w:rsidTr="00986827">
        <w:trPr>
          <w:trHeight w:val="253"/>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p>
        </w:tc>
        <w:tc>
          <w:tcPr>
            <w:tcW w:w="1269"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服务承诺</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15分</w:t>
            </w:r>
          </w:p>
        </w:tc>
        <w:tc>
          <w:tcPr>
            <w:tcW w:w="5954" w:type="dxa"/>
            <w:tcBorders>
              <w:tl2br w:val="nil"/>
              <w:tr2bl w:val="nil"/>
            </w:tcBorders>
            <w:tcMar>
              <w:top w:w="15" w:type="dxa"/>
              <w:left w:w="15" w:type="dxa"/>
              <w:right w:w="15" w:type="dxa"/>
            </w:tcMar>
            <w:vAlign w:val="center"/>
          </w:tcPr>
          <w:p w:rsidR="00745666" w:rsidRDefault="006600B4"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售后服务承诺</w:t>
            </w:r>
            <w:r w:rsidR="00745666">
              <w:rPr>
                <w:rFonts w:ascii="华文中宋" w:eastAsia="华文中宋" w:hAnsi="华文中宋" w:cs="华文中宋" w:hint="eastAsia"/>
                <w:sz w:val="28"/>
                <w:szCs w:val="28"/>
                <w:lang w:val="en-US"/>
              </w:rPr>
              <w:t>：</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（1）在接到采购人通知后</w:t>
            </w:r>
            <w:r w:rsidR="006600B4">
              <w:rPr>
                <w:rFonts w:ascii="华文中宋" w:eastAsia="华文中宋" w:hAnsi="华文中宋" w:cs="华文中宋" w:hint="eastAsia"/>
                <w:sz w:val="28"/>
                <w:szCs w:val="28"/>
                <w:lang w:val="en-US"/>
              </w:rPr>
              <w:t>60</w:t>
            </w:r>
            <w:r>
              <w:rPr>
                <w:rFonts w:ascii="华文中宋" w:eastAsia="华文中宋" w:hAnsi="华文中宋" w:cs="华文中宋" w:hint="eastAsia"/>
                <w:sz w:val="28"/>
                <w:szCs w:val="28"/>
                <w:lang w:val="en-US"/>
              </w:rPr>
              <w:t>分钟内到达现场并解决问题的得7分；</w:t>
            </w:r>
            <w:r w:rsidR="006600B4">
              <w:rPr>
                <w:rFonts w:ascii="华文中宋" w:eastAsia="华文中宋" w:hAnsi="华文中宋" w:cs="华文中宋" w:hint="eastAsia"/>
                <w:sz w:val="28"/>
                <w:szCs w:val="28"/>
                <w:lang w:val="en-US"/>
              </w:rPr>
              <w:t>60</w:t>
            </w:r>
            <w:r>
              <w:rPr>
                <w:rFonts w:ascii="华文中宋" w:eastAsia="华文中宋" w:hAnsi="华文中宋" w:cs="华文中宋" w:hint="eastAsia"/>
                <w:sz w:val="28"/>
                <w:szCs w:val="28"/>
                <w:lang w:val="en-US"/>
              </w:rPr>
              <w:t>分钟（不含）至</w:t>
            </w:r>
            <w:r w:rsidR="006600B4">
              <w:rPr>
                <w:rFonts w:ascii="华文中宋" w:eastAsia="华文中宋" w:hAnsi="华文中宋" w:cs="华文中宋" w:hint="eastAsia"/>
                <w:sz w:val="28"/>
                <w:szCs w:val="28"/>
                <w:lang w:val="en-US"/>
              </w:rPr>
              <w:t>120</w:t>
            </w:r>
            <w:r>
              <w:rPr>
                <w:rFonts w:ascii="华文中宋" w:eastAsia="华文中宋" w:hAnsi="华文中宋" w:cs="华文中宋" w:hint="eastAsia"/>
                <w:sz w:val="28"/>
                <w:szCs w:val="28"/>
                <w:lang w:val="en-US"/>
              </w:rPr>
              <w:t>分钟（含）到达现场并解决问题的，提供书面承诺的得5分；1</w:t>
            </w:r>
            <w:r w:rsidR="006600B4">
              <w:rPr>
                <w:rFonts w:ascii="华文中宋" w:eastAsia="华文中宋" w:hAnsi="华文中宋" w:cs="华文中宋" w:hint="eastAsia"/>
                <w:sz w:val="28"/>
                <w:szCs w:val="28"/>
                <w:lang w:val="en-US"/>
              </w:rPr>
              <w:t>2</w:t>
            </w:r>
            <w:r>
              <w:rPr>
                <w:rFonts w:ascii="华文中宋" w:eastAsia="华文中宋" w:hAnsi="华文中宋" w:cs="华文中宋" w:hint="eastAsia"/>
                <w:sz w:val="28"/>
                <w:szCs w:val="28"/>
                <w:lang w:val="en-US"/>
              </w:rPr>
              <w:t>0分钟（不含）内到达现场并解决问题的提供书面承诺的3分，不提供书面承诺不得分。本项最多得7分。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（2）拟派的现场人员应具备解决问题的能力，提</w:t>
            </w:r>
            <w:r>
              <w:rPr>
                <w:rFonts w:ascii="华文中宋" w:eastAsia="华文中宋" w:hAnsi="华文中宋" w:cs="华文中宋" w:hint="eastAsia"/>
                <w:sz w:val="28"/>
                <w:szCs w:val="28"/>
                <w:lang w:val="en-US"/>
              </w:rPr>
              <w:lastRenderedPageBreak/>
              <w:t>供书面承诺得4分，不提供书面承诺不得分。本项目最多得4分。</w:t>
            </w:r>
          </w:p>
          <w:p w:rsidR="00745666" w:rsidRDefault="00745666" w:rsidP="00180A16">
            <w:pPr>
              <w:pStyle w:val="TOC1"/>
              <w:spacing w:line="400" w:lineRule="exact"/>
              <w:jc w:val="both"/>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w:t>
            </w:r>
            <w:r w:rsidR="006600B4">
              <w:rPr>
                <w:rFonts w:ascii="华文中宋" w:eastAsia="华文中宋" w:hAnsi="华文中宋" w:cs="华文中宋" w:hint="eastAsia"/>
                <w:sz w:val="28"/>
                <w:szCs w:val="28"/>
                <w:lang w:val="en-US"/>
              </w:rPr>
              <w:t>质量保证</w:t>
            </w:r>
            <w:r>
              <w:rPr>
                <w:rFonts w:ascii="华文中宋" w:eastAsia="华文中宋" w:hAnsi="华文中宋" w:cs="华文中宋" w:hint="eastAsia"/>
                <w:sz w:val="28"/>
                <w:szCs w:val="28"/>
                <w:lang w:val="en-US"/>
              </w:rPr>
              <w:t>，</w:t>
            </w:r>
            <w:r w:rsidR="006600B4">
              <w:rPr>
                <w:rFonts w:ascii="华文中宋" w:eastAsia="华文中宋" w:hAnsi="华文中宋" w:cs="华文中宋" w:hint="eastAsia"/>
                <w:sz w:val="28"/>
                <w:szCs w:val="28"/>
                <w:lang w:val="en-US"/>
              </w:rPr>
              <w:t>承诺质保3年，</w:t>
            </w:r>
            <w:r>
              <w:rPr>
                <w:rFonts w:ascii="华文中宋" w:eastAsia="华文中宋" w:hAnsi="华文中宋" w:cs="华文中宋" w:hint="eastAsia"/>
                <w:sz w:val="28"/>
                <w:szCs w:val="28"/>
                <w:lang w:val="en-US"/>
              </w:rPr>
              <w:t>提供书面承诺得4分，不提供书面承诺不得分。</w:t>
            </w:r>
          </w:p>
        </w:tc>
      </w:tr>
      <w:tr w:rsidR="00745666" w:rsidTr="00986827">
        <w:trPr>
          <w:trHeight w:val="253"/>
        </w:trPr>
        <w:tc>
          <w:tcPr>
            <w:tcW w:w="1042"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lastRenderedPageBreak/>
              <w:t>4</w:t>
            </w:r>
          </w:p>
        </w:tc>
        <w:tc>
          <w:tcPr>
            <w:tcW w:w="1269"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企业业绩</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jc w:val="center"/>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3分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提供2022年1月至今类似业绩。【提供相关证明材料：附投标供应商中标（成交）通知书或合同协议书或中标（成交）证明材料的扫描件或复印件，未提供不得分。】</w:t>
            </w:r>
          </w:p>
          <w:p w:rsidR="00745666" w:rsidRDefault="00745666" w:rsidP="00180A16">
            <w:pPr>
              <w:spacing w:line="400" w:lineRule="exact"/>
              <w:rPr>
                <w:lang w:val="en-US"/>
              </w:rPr>
            </w:pPr>
            <w:r>
              <w:rPr>
                <w:rFonts w:ascii="华文中宋" w:eastAsia="华文中宋" w:hAnsi="华文中宋" w:cs="华文中宋" w:hint="eastAsia"/>
                <w:sz w:val="28"/>
                <w:szCs w:val="28"/>
                <w:lang w:val="en-US"/>
              </w:rPr>
              <w:t>（1）每提供一个合格有效的类似项目业绩证明得1分，最高得3</w:t>
            </w:r>
            <w:r w:rsidR="006600B4">
              <w:rPr>
                <w:rFonts w:ascii="华文中宋" w:eastAsia="华文中宋" w:hAnsi="华文中宋" w:cs="华文中宋" w:hint="eastAsia"/>
                <w:sz w:val="28"/>
                <w:szCs w:val="28"/>
                <w:lang w:val="en-US"/>
              </w:rPr>
              <w:t>分；</w:t>
            </w:r>
          </w:p>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（2）不提供或不按照要求提供相关业绩证明的得0分。</w:t>
            </w:r>
          </w:p>
        </w:tc>
      </w:tr>
      <w:tr w:rsidR="00745666" w:rsidTr="00986827">
        <w:trPr>
          <w:trHeight w:val="518"/>
        </w:trPr>
        <w:tc>
          <w:tcPr>
            <w:tcW w:w="2311" w:type="dxa"/>
            <w:gridSpan w:val="2"/>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合计</w:t>
            </w:r>
          </w:p>
        </w:tc>
        <w:tc>
          <w:tcPr>
            <w:tcW w:w="975"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100分</w:t>
            </w:r>
          </w:p>
        </w:tc>
        <w:tc>
          <w:tcPr>
            <w:tcW w:w="5954" w:type="dxa"/>
            <w:tcBorders>
              <w:tl2br w:val="nil"/>
              <w:tr2bl w:val="nil"/>
            </w:tcBorders>
            <w:tcMar>
              <w:top w:w="15" w:type="dxa"/>
              <w:left w:w="15" w:type="dxa"/>
              <w:right w:w="15" w:type="dxa"/>
            </w:tcMar>
            <w:vAlign w:val="center"/>
          </w:tcPr>
          <w:p w:rsidR="00745666" w:rsidRDefault="00745666" w:rsidP="00180A16">
            <w:pPr>
              <w:spacing w:line="400" w:lineRule="exact"/>
              <w:rPr>
                <w:rFonts w:ascii="华文中宋" w:eastAsia="华文中宋" w:hAnsi="华文中宋" w:cs="华文中宋"/>
                <w:sz w:val="28"/>
                <w:szCs w:val="28"/>
                <w:lang w:val="en-US"/>
              </w:rPr>
            </w:pPr>
          </w:p>
        </w:tc>
      </w:tr>
    </w:tbl>
    <w:p w:rsidR="00745666" w:rsidRDefault="00745666" w:rsidP="00745666">
      <w:pPr>
        <w:pStyle w:val="TOC1"/>
        <w:jc w:val="both"/>
        <w:rPr>
          <w:rFonts w:ascii="华文中宋" w:eastAsia="华文中宋" w:hAnsi="华文中宋" w:cs="华文中宋"/>
          <w:sz w:val="28"/>
          <w:szCs w:val="28"/>
          <w:lang w:val="en-US"/>
        </w:rPr>
      </w:pPr>
    </w:p>
    <w:p w:rsidR="00745666" w:rsidRDefault="00745666" w:rsidP="00180A16">
      <w:pPr>
        <w:spacing w:line="440" w:lineRule="exact"/>
        <w:ind w:firstLineChars="50" w:firstLine="140"/>
        <w:rPr>
          <w:rFonts w:ascii="华文中宋" w:eastAsia="华文中宋" w:hAnsi="华文中宋" w:cs="华文中宋"/>
          <w:sz w:val="28"/>
          <w:szCs w:val="28"/>
          <w:lang w:val="en-US"/>
        </w:rPr>
      </w:pPr>
      <w:r>
        <w:rPr>
          <w:rFonts w:ascii="华文中宋" w:eastAsia="华文中宋" w:hAnsi="华文中宋" w:cs="华文中宋" w:hint="eastAsia"/>
          <w:sz w:val="28"/>
          <w:szCs w:val="28"/>
          <w:lang w:val="en-US"/>
        </w:rPr>
        <w:t>评审分数计算</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rPr>
        <w:t>（</w:t>
      </w:r>
      <w:r>
        <w:rPr>
          <w:rFonts w:ascii="华文中宋" w:eastAsia="华文中宋" w:hAnsi="华文中宋" w:cs="华文中宋" w:hint="eastAsia"/>
          <w:sz w:val="28"/>
          <w:szCs w:val="28"/>
          <w:lang w:val="en-US"/>
        </w:rPr>
        <w:t>1</w:t>
      </w:r>
      <w:r>
        <w:rPr>
          <w:rFonts w:ascii="华文中宋" w:eastAsia="华文中宋" w:hAnsi="华文中宋" w:cs="华文中宋" w:hint="eastAsia"/>
          <w:sz w:val="28"/>
          <w:szCs w:val="28"/>
        </w:rPr>
        <w:t>）价格分的计算</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价格分采用低价优先法计算，即满足</w:t>
      </w:r>
      <w:r>
        <w:rPr>
          <w:rFonts w:ascii="华文中宋" w:eastAsia="华文中宋" w:hAnsi="华文中宋" w:cs="华文中宋" w:hint="eastAsia"/>
          <w:sz w:val="28"/>
          <w:szCs w:val="28"/>
          <w:lang w:val="en-US"/>
        </w:rPr>
        <w:t>招标</w:t>
      </w:r>
      <w:r>
        <w:rPr>
          <w:rFonts w:ascii="华文中宋" w:eastAsia="华文中宋" w:hAnsi="华文中宋" w:cs="华文中宋" w:hint="eastAsia"/>
          <w:sz w:val="28"/>
          <w:szCs w:val="28"/>
        </w:rPr>
        <w:t>文件要求的前提下，最低有效投标单价作为评标基准价，其价格分为满分。其余供应</w:t>
      </w:r>
      <w:proofErr w:type="gramStart"/>
      <w:r>
        <w:rPr>
          <w:rFonts w:ascii="华文中宋" w:eastAsia="华文中宋" w:hAnsi="华文中宋" w:cs="华文中宋" w:hint="eastAsia"/>
          <w:sz w:val="28"/>
          <w:szCs w:val="28"/>
        </w:rPr>
        <w:t>商价格分统一</w:t>
      </w:r>
      <w:proofErr w:type="gramEnd"/>
      <w:r>
        <w:rPr>
          <w:rFonts w:ascii="华文中宋" w:eastAsia="华文中宋" w:hAnsi="华文中宋" w:cs="华文中宋" w:hint="eastAsia"/>
          <w:sz w:val="28"/>
          <w:szCs w:val="28"/>
        </w:rPr>
        <w:t>按照下列公式计算：</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投标报价得分＝（评标基准价／投标报价）×</w:t>
      </w:r>
      <w:proofErr w:type="gramStart"/>
      <w:r>
        <w:rPr>
          <w:rFonts w:ascii="华文中宋" w:eastAsia="华文中宋" w:hAnsi="华文中宋" w:cs="华文中宋" w:hint="eastAsia"/>
          <w:sz w:val="28"/>
          <w:szCs w:val="28"/>
        </w:rPr>
        <w:t>价格权</w:t>
      </w:r>
      <w:proofErr w:type="gramEnd"/>
      <w:r>
        <w:rPr>
          <w:rFonts w:ascii="华文中宋" w:eastAsia="华文中宋" w:hAnsi="华文中宋" w:cs="华文中宋" w:hint="eastAsia"/>
          <w:sz w:val="28"/>
          <w:szCs w:val="28"/>
        </w:rPr>
        <w:t>值×100</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lang w:val="en-US"/>
        </w:rPr>
        <w:t>（2）</w:t>
      </w:r>
      <w:r>
        <w:rPr>
          <w:rFonts w:ascii="华文中宋" w:eastAsia="华文中宋" w:hAnsi="华文中宋" w:cs="华文中宋" w:hint="eastAsia"/>
          <w:sz w:val="28"/>
          <w:szCs w:val="28"/>
        </w:rPr>
        <w:t>评标总得分计算方法：</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对所有实质响应性投标文件进行技术、商务、价格打分。</w:t>
      </w:r>
    </w:p>
    <w:p w:rsidR="00745666" w:rsidRDefault="00745666" w:rsidP="00180A16">
      <w:pPr>
        <w:spacing w:line="440" w:lineRule="exact"/>
        <w:ind w:firstLineChars="200" w:firstLine="560"/>
        <w:rPr>
          <w:rFonts w:ascii="华文中宋" w:eastAsia="华文中宋" w:hAnsi="华文中宋" w:cs="华文中宋"/>
          <w:sz w:val="28"/>
          <w:szCs w:val="28"/>
        </w:rPr>
      </w:pPr>
      <w:r>
        <w:rPr>
          <w:rFonts w:ascii="华文中宋" w:eastAsia="华文中宋" w:hAnsi="华文中宋" w:cs="华文中宋" w:hint="eastAsia"/>
          <w:sz w:val="28"/>
          <w:szCs w:val="28"/>
        </w:rPr>
        <w:t>评标总得分＝价格+技术+商务，技术、商务评分因素为</w:t>
      </w:r>
      <w:r>
        <w:rPr>
          <w:rFonts w:ascii="华文中宋" w:eastAsia="华文中宋" w:hAnsi="华文中宋" w:cs="华文中宋" w:hint="eastAsia"/>
          <w:sz w:val="28"/>
          <w:szCs w:val="28"/>
          <w:lang w:val="en-US"/>
        </w:rPr>
        <w:t>所有</w:t>
      </w:r>
      <w:r>
        <w:rPr>
          <w:rFonts w:ascii="华文中宋" w:eastAsia="华文中宋" w:hAnsi="华文中宋" w:cs="华文中宋" w:hint="eastAsia"/>
          <w:sz w:val="28"/>
          <w:szCs w:val="28"/>
        </w:rPr>
        <w:t>评委评分的平均分；</w:t>
      </w:r>
    </w:p>
    <w:p w:rsidR="00745666" w:rsidRDefault="00745666" w:rsidP="00180A16">
      <w:pPr>
        <w:spacing w:line="440" w:lineRule="exact"/>
        <w:rPr>
          <w:rFonts w:ascii="华文中宋" w:eastAsia="华文中宋" w:hAnsi="华文中宋" w:cs="华文中宋"/>
          <w:sz w:val="28"/>
          <w:szCs w:val="28"/>
        </w:rPr>
      </w:pPr>
      <w:r>
        <w:rPr>
          <w:rFonts w:ascii="华文中宋" w:eastAsia="华文中宋" w:hAnsi="华文中宋" w:cs="华文中宋" w:hint="eastAsia"/>
          <w:sz w:val="28"/>
          <w:szCs w:val="28"/>
          <w:lang w:val="en-US"/>
        </w:rPr>
        <w:t>（3）</w:t>
      </w:r>
      <w:r>
        <w:rPr>
          <w:rFonts w:ascii="华文中宋" w:eastAsia="华文中宋" w:hAnsi="华文中宋" w:cs="华文中宋" w:hint="eastAsia"/>
          <w:sz w:val="28"/>
          <w:szCs w:val="28"/>
        </w:rPr>
        <w:t>中标原则：评标委员会根据计算各有效投标供应商的最终得分由高到低排名向采购人推荐前三名中标候选人，采购人按照顺序确定中标供应商。</w:t>
      </w:r>
    </w:p>
    <w:p w:rsidR="002D159E" w:rsidRDefault="002D159E" w:rsidP="00180A16">
      <w:pPr>
        <w:spacing w:line="440" w:lineRule="exact"/>
      </w:pPr>
    </w:p>
    <w:sectPr w:rsidR="002D15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A4" w:rsidRDefault="003B71A4" w:rsidP="00180A16">
      <w:r>
        <w:separator/>
      </w:r>
    </w:p>
  </w:endnote>
  <w:endnote w:type="continuationSeparator" w:id="0">
    <w:p w:rsidR="003B71A4" w:rsidRDefault="003B71A4" w:rsidP="0018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73232"/>
      <w:docPartObj>
        <w:docPartGallery w:val="Page Numbers (Bottom of Page)"/>
        <w:docPartUnique/>
      </w:docPartObj>
    </w:sdtPr>
    <w:sdtEndPr/>
    <w:sdtContent>
      <w:p w:rsidR="00180A16" w:rsidRDefault="00180A16">
        <w:pPr>
          <w:pStyle w:val="a3"/>
          <w:jc w:val="right"/>
        </w:pPr>
        <w:r>
          <w:fldChar w:fldCharType="begin"/>
        </w:r>
        <w:r>
          <w:instrText>PAGE   \* MERGEFORMAT</w:instrText>
        </w:r>
        <w:r>
          <w:fldChar w:fldCharType="separate"/>
        </w:r>
        <w:r w:rsidR="002A0BB8">
          <w:rPr>
            <w:noProof/>
          </w:rPr>
          <w:t>3</w:t>
        </w:r>
        <w:r>
          <w:fldChar w:fldCharType="end"/>
        </w:r>
      </w:p>
    </w:sdtContent>
  </w:sdt>
  <w:p w:rsidR="00180A16" w:rsidRDefault="00180A1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A4" w:rsidRDefault="003B71A4" w:rsidP="00180A16">
      <w:r>
        <w:separator/>
      </w:r>
    </w:p>
  </w:footnote>
  <w:footnote w:type="continuationSeparator" w:id="0">
    <w:p w:rsidR="003B71A4" w:rsidRDefault="003B71A4" w:rsidP="00180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45429"/>
    <w:multiLevelType w:val="singleLevel"/>
    <w:tmpl w:val="7414542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666"/>
    <w:rsid w:val="00180A16"/>
    <w:rsid w:val="002A0BB8"/>
    <w:rsid w:val="002D159E"/>
    <w:rsid w:val="003B71A4"/>
    <w:rsid w:val="006600B4"/>
    <w:rsid w:val="00745666"/>
    <w:rsid w:val="007D1F2F"/>
    <w:rsid w:val="00812FA3"/>
    <w:rsid w:val="0094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66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5666"/>
    <w:pPr>
      <w:tabs>
        <w:tab w:val="center" w:pos="4153"/>
        <w:tab w:val="right" w:pos="8306"/>
      </w:tabs>
      <w:snapToGrid w:val="0"/>
    </w:pPr>
    <w:rPr>
      <w:sz w:val="18"/>
    </w:rPr>
  </w:style>
  <w:style w:type="character" w:customStyle="1" w:styleId="Char">
    <w:name w:val="页脚 Char"/>
    <w:basedOn w:val="a0"/>
    <w:link w:val="a3"/>
    <w:uiPriority w:val="99"/>
    <w:rsid w:val="00745666"/>
    <w:rPr>
      <w:rFonts w:ascii="宋体" w:eastAsia="宋体" w:hAnsi="宋体" w:cs="宋体"/>
      <w:kern w:val="0"/>
      <w:sz w:val="18"/>
      <w:lang w:val="zh-CN" w:bidi="zh-CN"/>
    </w:rPr>
  </w:style>
  <w:style w:type="paragraph" w:customStyle="1" w:styleId="TOC1">
    <w:name w:val="TOC1"/>
    <w:basedOn w:val="a"/>
    <w:next w:val="a"/>
    <w:qFormat/>
    <w:rsid w:val="00745666"/>
    <w:pPr>
      <w:tabs>
        <w:tab w:val="right" w:leader="dot" w:pos="9061"/>
      </w:tabs>
      <w:jc w:val="center"/>
    </w:pPr>
    <w:rPr>
      <w:rFonts w:ascii="黑体" w:eastAsia="黑体" w:hAnsi="黑体"/>
      <w:sz w:val="30"/>
      <w:szCs w:val="30"/>
    </w:rPr>
  </w:style>
  <w:style w:type="paragraph" w:customStyle="1" w:styleId="TableParagraph">
    <w:name w:val="Table Paragraph"/>
    <w:basedOn w:val="a"/>
    <w:uiPriority w:val="1"/>
    <w:qFormat/>
    <w:rsid w:val="00745666"/>
    <w:pPr>
      <w:widowControl/>
      <w:autoSpaceDE/>
      <w:autoSpaceDN/>
      <w:jc w:val="both"/>
    </w:pPr>
    <w:rPr>
      <w:kern w:val="2"/>
      <w:sz w:val="21"/>
      <w:szCs w:val="21"/>
    </w:rPr>
  </w:style>
  <w:style w:type="paragraph" w:styleId="a4">
    <w:name w:val="header"/>
    <w:basedOn w:val="a"/>
    <w:link w:val="Char0"/>
    <w:uiPriority w:val="99"/>
    <w:unhideWhenUsed/>
    <w:rsid w:val="00180A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0A16"/>
    <w:rPr>
      <w:rFonts w:ascii="宋体" w:eastAsia="宋体" w:hAnsi="宋体" w:cs="宋体"/>
      <w:kern w:val="0"/>
      <w:sz w:val="18"/>
      <w:szCs w:val="18"/>
      <w:lang w:val="zh-CN" w:bidi="zh-CN"/>
    </w:rPr>
  </w:style>
  <w:style w:type="paragraph" w:styleId="a5">
    <w:name w:val="Balloon Text"/>
    <w:basedOn w:val="a"/>
    <w:link w:val="Char1"/>
    <w:uiPriority w:val="99"/>
    <w:semiHidden/>
    <w:unhideWhenUsed/>
    <w:rsid w:val="002A0BB8"/>
    <w:rPr>
      <w:sz w:val="18"/>
      <w:szCs w:val="18"/>
    </w:rPr>
  </w:style>
  <w:style w:type="character" w:customStyle="1" w:styleId="Char1">
    <w:name w:val="批注框文本 Char"/>
    <w:basedOn w:val="a0"/>
    <w:link w:val="a5"/>
    <w:uiPriority w:val="99"/>
    <w:semiHidden/>
    <w:rsid w:val="002A0BB8"/>
    <w:rPr>
      <w:rFonts w:ascii="宋体" w:eastAsia="宋体" w:hAnsi="宋体" w:cs="宋体"/>
      <w:kern w:val="0"/>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5666"/>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45666"/>
    <w:pPr>
      <w:tabs>
        <w:tab w:val="center" w:pos="4153"/>
        <w:tab w:val="right" w:pos="8306"/>
      </w:tabs>
      <w:snapToGrid w:val="0"/>
    </w:pPr>
    <w:rPr>
      <w:sz w:val="18"/>
    </w:rPr>
  </w:style>
  <w:style w:type="character" w:customStyle="1" w:styleId="Char">
    <w:name w:val="页脚 Char"/>
    <w:basedOn w:val="a0"/>
    <w:link w:val="a3"/>
    <w:uiPriority w:val="99"/>
    <w:rsid w:val="00745666"/>
    <w:rPr>
      <w:rFonts w:ascii="宋体" w:eastAsia="宋体" w:hAnsi="宋体" w:cs="宋体"/>
      <w:kern w:val="0"/>
      <w:sz w:val="18"/>
      <w:lang w:val="zh-CN" w:bidi="zh-CN"/>
    </w:rPr>
  </w:style>
  <w:style w:type="paragraph" w:customStyle="1" w:styleId="TOC1">
    <w:name w:val="TOC1"/>
    <w:basedOn w:val="a"/>
    <w:next w:val="a"/>
    <w:qFormat/>
    <w:rsid w:val="00745666"/>
    <w:pPr>
      <w:tabs>
        <w:tab w:val="right" w:leader="dot" w:pos="9061"/>
      </w:tabs>
      <w:jc w:val="center"/>
    </w:pPr>
    <w:rPr>
      <w:rFonts w:ascii="黑体" w:eastAsia="黑体" w:hAnsi="黑体"/>
      <w:sz w:val="30"/>
      <w:szCs w:val="30"/>
    </w:rPr>
  </w:style>
  <w:style w:type="paragraph" w:customStyle="1" w:styleId="TableParagraph">
    <w:name w:val="Table Paragraph"/>
    <w:basedOn w:val="a"/>
    <w:uiPriority w:val="1"/>
    <w:qFormat/>
    <w:rsid w:val="00745666"/>
    <w:pPr>
      <w:widowControl/>
      <w:autoSpaceDE/>
      <w:autoSpaceDN/>
      <w:jc w:val="both"/>
    </w:pPr>
    <w:rPr>
      <w:kern w:val="2"/>
      <w:sz w:val="21"/>
      <w:szCs w:val="21"/>
    </w:rPr>
  </w:style>
  <w:style w:type="paragraph" w:styleId="a4">
    <w:name w:val="header"/>
    <w:basedOn w:val="a"/>
    <w:link w:val="Char0"/>
    <w:uiPriority w:val="99"/>
    <w:unhideWhenUsed/>
    <w:rsid w:val="00180A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80A16"/>
    <w:rPr>
      <w:rFonts w:ascii="宋体" w:eastAsia="宋体" w:hAnsi="宋体" w:cs="宋体"/>
      <w:kern w:val="0"/>
      <w:sz w:val="18"/>
      <w:szCs w:val="18"/>
      <w:lang w:val="zh-CN" w:bidi="zh-CN"/>
    </w:rPr>
  </w:style>
  <w:style w:type="paragraph" w:styleId="a5">
    <w:name w:val="Balloon Text"/>
    <w:basedOn w:val="a"/>
    <w:link w:val="Char1"/>
    <w:uiPriority w:val="99"/>
    <w:semiHidden/>
    <w:unhideWhenUsed/>
    <w:rsid w:val="002A0BB8"/>
    <w:rPr>
      <w:sz w:val="18"/>
      <w:szCs w:val="18"/>
    </w:rPr>
  </w:style>
  <w:style w:type="character" w:customStyle="1" w:styleId="Char1">
    <w:name w:val="批注框文本 Char"/>
    <w:basedOn w:val="a0"/>
    <w:link w:val="a5"/>
    <w:uiPriority w:val="99"/>
    <w:semiHidden/>
    <w:rsid w:val="002A0BB8"/>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兴轿公司公文收发员</dc:creator>
  <cp:lastModifiedBy>兴轿公司公文收发员</cp:lastModifiedBy>
  <cp:revision>5</cp:revision>
  <cp:lastPrinted>2025-07-03T04:42:00Z</cp:lastPrinted>
  <dcterms:created xsi:type="dcterms:W3CDTF">2025-07-03T01:57:00Z</dcterms:created>
  <dcterms:modified xsi:type="dcterms:W3CDTF">2025-07-03T04:42:00Z</dcterms:modified>
</cp:coreProperties>
</file>