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罪犯左松祥，男，1958年4月9日生，汉族，专科文化，江苏省常州市人。现在贵州省六盘水监狱服刑。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2003年9月2日因猥亵儿童罪被江苏省镇江市润州区人民法院判处有期徒刑二年，2005年5月20日刑满释放；2008年9月20日因合同诈骗罪被江苏省仪征市人民法院判处有期徒刑二年六个月，2010年3月11日刑满释放。2020年5月22日，贵州省六盘水市钟山区人民法院作出（2020）黔0201刑初102号刑事判决书，一、认定罪犯左松祥犯合同诈骗罪，判处有期徒刑十一年，并处罚金人民币三万元（刑期自2019年6月5日起至2030年6月4日止）；二、罪犯左松祥退赔各被害人经济损失190万元。该犯不服，提出上诉。2020年7月15日，贵州省六盘水市中级人民法院作出（2020）黔02刑终109号刑事裁定书，裁定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判决发生法律效力后于2020年9月25日交付贵州省六盘水监狱执行。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一、认罪悔罪、遵守法律法规及监规方面：罪犯左松祥在服刑期间，能服从法院判决，认罪悔罪，认真遵守法律法规及监规纪律，服从管教。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三、劳动改造方面：五监区为后勤监区，罪犯无劳动定额，该犯从事楼层值星员劳动，能完成警官安排的劳动任务，表现较好，确有悔改表现。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四、履行财产性判项方面：罚金人民币30000元未履行、退赃退赔人民币1900000元未履行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五、考核奖励情况：2020年11月至2021年5月获1个表扬；2021年6月至2021年11月获1个表扬；2021年12月至2022年5月获1个表扬；2022年6月至2022年11月获1个表扬；2022年12月至2023年5月获1个表扬；获得共5个表扬。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从严情形：罚金人民币30000元未履行、退赃退赔人民币1900000元未履行。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综上所述，罪犯左松祥在服刑改造期间，能认真遵守监规，接受教育改造，确有悔改表现。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左松祥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FD2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81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2024-04-19T01:36:07Z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3724CFBC80514E879177D5F0E1CD6F37</vt:lpwstr>
  </property>
</Properties>
</file>