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ind w:right="141" w:rightChars="67"/>
        <w:jc w:val="center"/>
        <w:rPr>
          <w:rFonts w:hint="eastAsia"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提请假释建议书</w:t>
      </w:r>
    </w:p>
    <w:p>
      <w:pPr>
        <w:jc w:val="right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(2024)黔六狱假字第5号</w:t>
      </w:r>
    </w:p>
    <w:p>
      <w:pPr>
        <w:adjustRightInd w:val="0"/>
        <w:snapToGrid w:val="0"/>
        <w:spacing w:line="480" w:lineRule="exact"/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罪犯李兴，男，1975年4月7日生，彝族，</w:t>
      </w:r>
      <w:r>
        <w:rPr>
          <w:rFonts w:hint="eastAsia" w:ascii="仿宋" w:hAnsi="仿宋" w:eastAsia="仿宋"/>
          <w:sz w:val="32"/>
          <w:szCs w:val="32"/>
          <w:lang w:eastAsia="zh-CN"/>
        </w:rPr>
        <w:t>本</w:t>
      </w:r>
      <w:r>
        <w:rPr>
          <w:rFonts w:hint="eastAsia" w:ascii="仿宋" w:hAnsi="仿宋" w:eastAsia="仿宋"/>
          <w:sz w:val="32"/>
          <w:szCs w:val="32"/>
        </w:rPr>
        <w:t>科文化，贵州省盘州市人。现在贵州省六盘水监狱服刑。</w:t>
      </w:r>
    </w:p>
    <w:p>
      <w:pPr>
        <w:adjustRightInd w:val="0"/>
        <w:snapToGrid w:val="0"/>
        <w:spacing w:line="480" w:lineRule="exact"/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2020年11月16日，贵州省盘州市人民法院作出（2020）黔0222刑初34号刑事判决，认定李兴犯违法发放贷款罪，判处有期徒刑五年六个月（刑期自2020年11月16日起至2026年5月15日止），罚金人民币80000.00元。该犯不服，提出上诉。2020年12月31日，贵州省六盘水市中级人民法院作出（2020）黔02刑终190号刑事裁定，驳回上诉，维持原判。捕前系盘县农村信用合作联社断江信用社主任，系破坏金融秩序罪罪犯。</w:t>
      </w:r>
    </w:p>
    <w:p>
      <w:pPr>
        <w:adjustRightInd w:val="0"/>
        <w:snapToGrid w:val="0"/>
        <w:spacing w:line="480" w:lineRule="exact"/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判决发生法律效力后2021年3月19日交付贵州省六盘水监狱服刑。</w:t>
      </w:r>
    </w:p>
    <w:p>
      <w:pPr>
        <w:adjustRightInd w:val="0"/>
        <w:snapToGrid w:val="0"/>
        <w:spacing w:line="480" w:lineRule="exact"/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服刑期间执行刑期变动情况：无。</w:t>
      </w:r>
    </w:p>
    <w:p>
      <w:pPr>
        <w:adjustRightInd w:val="0"/>
        <w:snapToGrid w:val="0"/>
        <w:spacing w:line="480" w:lineRule="exact"/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该犯在服刑改造期间，确有悔改表现，具体事实如下：</w:t>
      </w:r>
    </w:p>
    <w:p>
      <w:pPr>
        <w:adjustRightInd w:val="0"/>
        <w:snapToGrid w:val="0"/>
        <w:spacing w:line="480" w:lineRule="exact"/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一、认罪悔罪方面：罪犯李兴在服刑期间，能服从法院判决，认罪悔罪。</w:t>
      </w:r>
    </w:p>
    <w:p>
      <w:pPr>
        <w:adjustRightInd w:val="0"/>
        <w:snapToGrid w:val="0"/>
        <w:spacing w:line="480" w:lineRule="exact"/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二、遵守法律法规及监规方面：罪犯李兴在服刑期间，认真遵守法律法规及监规纪律，服从管教。</w:t>
      </w:r>
    </w:p>
    <w:p>
      <w:pPr>
        <w:adjustRightInd w:val="0"/>
        <w:snapToGrid w:val="0"/>
        <w:spacing w:line="480" w:lineRule="exact"/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三、教育改造方面:能接受教育改造，积极参加思想、文化、职业技术教育，“三课”学习成绩合格。</w:t>
      </w:r>
    </w:p>
    <w:p>
      <w:pPr>
        <w:adjustRightInd w:val="0"/>
        <w:snapToGrid w:val="0"/>
        <w:spacing w:line="480" w:lineRule="exact"/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四、劳动改造方面:能积极参加劳动，按时完成警官布置的零星任务，确有悔改表现。</w:t>
      </w:r>
    </w:p>
    <w:p>
      <w:pPr>
        <w:adjustRightInd w:val="0"/>
        <w:snapToGrid w:val="0"/>
        <w:spacing w:line="480" w:lineRule="exact"/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五、履行财产性判项方面：罚金人民币80000元(已全部缴纳)(法院执行情况:全部履行）。</w:t>
      </w:r>
    </w:p>
    <w:p>
      <w:pPr>
        <w:adjustRightInd w:val="0"/>
        <w:snapToGrid w:val="0"/>
        <w:spacing w:line="480" w:lineRule="exact"/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六、考核奖励情况：2021年5月至2021年11月获1个表扬；2021年12月至2022年5月获1个表扬；2022年6月至2022年11月获1个表扬；2022年12月至2023年5月获1个表扬；2023年6月至2023年11月获1个表扬；获得共5个表扬。</w:t>
      </w:r>
    </w:p>
    <w:p>
      <w:pPr>
        <w:adjustRightInd w:val="0"/>
        <w:snapToGrid w:val="0"/>
        <w:spacing w:line="480" w:lineRule="exact"/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检察机关审查意见:同意假释。</w:t>
      </w:r>
    </w:p>
    <w:p>
      <w:pPr>
        <w:adjustRightInd w:val="0"/>
        <w:snapToGrid w:val="0"/>
        <w:spacing w:line="480" w:lineRule="exact"/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综上所述，罪犯李兴在服刑改造期间，能认真遵守监规，接受教育改造，确有悔改表现。社区矫正机关同意适用社区矫正，监狱经综合评估预测该犯没有再犯罪危险。</w:t>
      </w:r>
    </w:p>
    <w:p>
      <w:pPr>
        <w:adjustRightInd w:val="0"/>
        <w:snapToGrid w:val="0"/>
        <w:spacing w:line="480" w:lineRule="exact"/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为此， 根据《中华人民共和国刑法》第八十一条、第八十二条、第八十三条，《中华人民共和国刑事诉讼法》 第二百七十三条第二款和《中华人民共和国监狱法》第三十二条之规定，建议对罪犯李兴提请假释。特提请裁定。</w:t>
      </w:r>
    </w:p>
    <w:p>
      <w:pPr>
        <w:pStyle w:val="2"/>
        <w:adjustRightInd w:val="0"/>
        <w:snapToGrid w:val="0"/>
        <w:spacing w:line="480" w:lineRule="exact"/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此致</w:t>
      </w:r>
    </w:p>
    <w:p>
      <w:pPr>
        <w:pStyle w:val="2"/>
        <w:adjustRightInd w:val="0"/>
        <w:snapToGrid w:val="0"/>
        <w:spacing w:line="480" w:lineRule="exac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六盘水市中级人民法院</w:t>
      </w: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  <w:bookmarkStart w:id="0" w:name="_GoBack"/>
      <w:r>
        <w:rPr>
          <w:rFonts w:hint="eastAsia" w:ascii="仿宋_GB2312" w:eastAsia="仿宋_GB2312"/>
          <w:sz w:val="32"/>
          <w:szCs w:val="32"/>
          <w:lang w:val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3380105</wp:posOffset>
            </wp:positionH>
            <wp:positionV relativeFrom="paragraph">
              <wp:posOffset>338455</wp:posOffset>
            </wp:positionV>
            <wp:extent cx="1511935" cy="1511935"/>
            <wp:effectExtent l="0" t="0" r="0" b="0"/>
            <wp:wrapNone/>
            <wp:docPr id="1" name="图片 1" descr="{{wgz}}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wgz}}"/>
                    <pic:cNvPicPr preferRelativeResize="0"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2000" cy="151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>
      <w:pPr>
        <w:rPr>
          <w:rFonts w:hint="eastAsia"/>
          <w:sz w:val="32"/>
          <w:szCs w:val="32"/>
        </w:rPr>
      </w:pPr>
    </w:p>
    <w:p>
      <w:pPr>
        <w:jc w:val="center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（</w:t>
      </w:r>
      <w:r>
        <w:rPr>
          <w:rFonts w:hint="eastAsia" w:ascii="仿宋_GB2312" w:hAnsi="仿宋" w:eastAsia="仿宋_GB2312"/>
          <w:sz w:val="32"/>
          <w:szCs w:val="32"/>
        </w:rPr>
        <w:t>公章）</w:t>
      </w:r>
    </w:p>
    <w:p>
      <w:pPr>
        <w:ind w:firstLine="5440" w:firstLineChars="1700"/>
        <w:rPr>
          <w:rFonts w:hint="eastAsia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2024年10月29日</w:t>
      </w:r>
    </w:p>
    <w:p>
      <w:pPr>
        <w:rPr>
          <w:rFonts w:hint="eastAsia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D39"/>
    <w:rsid w:val="000133E0"/>
    <w:rsid w:val="000541F9"/>
    <w:rsid w:val="00081D94"/>
    <w:rsid w:val="00096338"/>
    <w:rsid w:val="000C27BD"/>
    <w:rsid w:val="000E1B5D"/>
    <w:rsid w:val="001112C4"/>
    <w:rsid w:val="001357D9"/>
    <w:rsid w:val="001B369E"/>
    <w:rsid w:val="001C2D60"/>
    <w:rsid w:val="0021428E"/>
    <w:rsid w:val="00220FEC"/>
    <w:rsid w:val="002348CA"/>
    <w:rsid w:val="002E2AF1"/>
    <w:rsid w:val="00344724"/>
    <w:rsid w:val="00387B94"/>
    <w:rsid w:val="003F003E"/>
    <w:rsid w:val="003F4B79"/>
    <w:rsid w:val="00411110"/>
    <w:rsid w:val="00446518"/>
    <w:rsid w:val="00454451"/>
    <w:rsid w:val="00467CB7"/>
    <w:rsid w:val="004A0ED4"/>
    <w:rsid w:val="004C1D39"/>
    <w:rsid w:val="004E3655"/>
    <w:rsid w:val="0050047A"/>
    <w:rsid w:val="00513248"/>
    <w:rsid w:val="00520E67"/>
    <w:rsid w:val="00575499"/>
    <w:rsid w:val="005E2E5A"/>
    <w:rsid w:val="00621DFF"/>
    <w:rsid w:val="00642B14"/>
    <w:rsid w:val="00673400"/>
    <w:rsid w:val="006747BE"/>
    <w:rsid w:val="006A4DA6"/>
    <w:rsid w:val="006A7F87"/>
    <w:rsid w:val="006C0E61"/>
    <w:rsid w:val="007160EA"/>
    <w:rsid w:val="0073046D"/>
    <w:rsid w:val="00766490"/>
    <w:rsid w:val="007A33CE"/>
    <w:rsid w:val="008F30AF"/>
    <w:rsid w:val="00903BBD"/>
    <w:rsid w:val="009106EF"/>
    <w:rsid w:val="009B3329"/>
    <w:rsid w:val="009E0B03"/>
    <w:rsid w:val="00A23A86"/>
    <w:rsid w:val="00A266B7"/>
    <w:rsid w:val="00A513CF"/>
    <w:rsid w:val="00A60A17"/>
    <w:rsid w:val="00AE0FB9"/>
    <w:rsid w:val="00BF206F"/>
    <w:rsid w:val="00C915DA"/>
    <w:rsid w:val="00CA49D7"/>
    <w:rsid w:val="00CF2555"/>
    <w:rsid w:val="00D57885"/>
    <w:rsid w:val="00D6520F"/>
    <w:rsid w:val="00DA573F"/>
    <w:rsid w:val="00DB6929"/>
    <w:rsid w:val="00DC519A"/>
    <w:rsid w:val="00DF5532"/>
    <w:rsid w:val="00DF6C5F"/>
    <w:rsid w:val="00E0195F"/>
    <w:rsid w:val="00E278E7"/>
    <w:rsid w:val="00E35620"/>
    <w:rsid w:val="00EE445B"/>
    <w:rsid w:val="00F13D1A"/>
    <w:rsid w:val="00F17940"/>
    <w:rsid w:val="00F67ABA"/>
    <w:rsid w:val="00FD3F5E"/>
    <w:rsid w:val="00FE1A14"/>
    <w:rsid w:val="00FF2867"/>
    <w:rsid w:val="15974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1"/>
    <w:unhideWhenUsed/>
    <w:qFormat/>
    <w:uiPriority w:val="99"/>
    <w:rPr>
      <w:rFonts w:ascii="仿宋" w:hAnsi="仿宋" w:eastAsia="仿宋"/>
      <w:sz w:val="30"/>
      <w:szCs w:val="30"/>
    </w:rPr>
  </w:style>
  <w:style w:type="paragraph" w:styleId="3">
    <w:name w:val="Closing"/>
    <w:basedOn w:val="1"/>
    <w:link w:val="12"/>
    <w:unhideWhenUsed/>
    <w:qFormat/>
    <w:uiPriority w:val="99"/>
    <w:pPr>
      <w:ind w:left="100" w:leftChars="2100"/>
    </w:pPr>
    <w:rPr>
      <w:rFonts w:ascii="仿宋" w:hAnsi="仿宋" w:eastAsia="仿宋"/>
      <w:sz w:val="30"/>
      <w:szCs w:val="30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称呼 字符"/>
    <w:basedOn w:val="8"/>
    <w:link w:val="2"/>
    <w:qFormat/>
    <w:uiPriority w:val="99"/>
    <w:rPr>
      <w:rFonts w:ascii="仿宋" w:hAnsi="仿宋" w:eastAsia="仿宋"/>
      <w:sz w:val="30"/>
      <w:szCs w:val="30"/>
    </w:rPr>
  </w:style>
  <w:style w:type="character" w:customStyle="1" w:styleId="12">
    <w:name w:val="结束语 字符"/>
    <w:basedOn w:val="8"/>
    <w:link w:val="3"/>
    <w:qFormat/>
    <w:uiPriority w:val="99"/>
    <w:rPr>
      <w:rFonts w:ascii="仿宋" w:hAnsi="仿宋" w:eastAsia="仿宋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</Words>
  <Characters>183</Characters>
  <Lines>1</Lines>
  <Paragraphs>1</Paragraphs>
  <TotalTime>30</TotalTime>
  <ScaleCrop>false</ScaleCrop>
  <LinksUpToDate>false</LinksUpToDate>
  <CharactersWithSpaces>213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Administrator</cp:lastModifiedBy>
  <dcterms:modified xsi:type="dcterms:W3CDTF">2024-10-31T07:16:08Z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7FACF4EF1CC54E7DBB9520E9B2A90603</vt:lpwstr>
  </property>
</Properties>
</file>