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罪犯马洪员，男，1987年6月14日生，苗族，文盲，贵州省威宁彝族回族苗族自治县人。现在贵州省六盘水监狱服刑。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02月18日，贵州省水城县人民法院作出（2018）黔0221刑初326号刑事判决书，认定马洪员犯抢劫罪，判处有期徒刑十一年（刑期自2018年08月21日起至2029年08月20日止），并处罚金人民币三千元，涉案赃物、赃款继续追缴，发还被害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判决发生法律效力后于2019年3月15日交付贵州省六盘水监狱执行。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2021年11月04日，六盘水市中级人民法院作出（2021）黔02刑更356号刑事裁定书，对罪犯马洪员减去有期徒刑5个月（剩余刑期至2029年3月20日止），2021年11月08日送达执行；2024年2月7日，贵州省六盘水市中级人民法院作出（2024）黔02刑更34号决定书，准许刑罚执行机关贵州省六盘水监狱撤回（2024）黔六狱减字第27号减刑建议书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一、认罪悔罪方面：罪犯马洪员在服刑期间，能服从法院判决，认罪悔罪。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二、遵守法律法规及监规方面：罪犯马洪员在服刑期间，认真遵守法律法规及监规纪律，服从管教。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五、履行财产性判项方面：罚金人民币3000元(已全部缴纳)(法院执行情况:全部履行）；退赃、退赔人民币13600元(未缴纳)。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2020年12月至2021年5月获1个表扬；2021年6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从严情形：退赃、退赔人民币13600.00元(未缴纳)；抢劫十年以上罪犯。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经审查，我院认为：罪犯马洪员符合提请减刑条件。未发现提请减刑建议不当，同意将案件交监狱长办公会审核。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综上所述，罪犯马洪员在服刑改造期间，能认真遵守监规，接受教育改造，确有悔改表现。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洪员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02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2024-11-01T01:48:51Z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4B2D4C197A044E1FAF8D1FE08D12CA8C</vt:lpwstr>
  </property>
</Properties>
</file>