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adjustRightInd w:val="0"/>
        <w:snapToGrid w:val="0"/>
        <w:jc w:val="center"/>
        <w:rPr>
          <w:rFonts w:hint="eastAsia" w:ascii="黑体" w:hAnsi="黑体" w:eastAsia="黑体" w:cs="黑体"/>
          <w:sz w:val="44"/>
          <w:szCs w:val="44"/>
        </w:rPr>
      </w:pPr>
      <w:r>
        <w:rPr>
          <w:rFonts w:hint="eastAsia" w:ascii="黑体" w:hAnsi="黑体" w:eastAsia="黑体" w:cs="黑体"/>
          <w:sz w:val="44"/>
          <w:szCs w:val="44"/>
        </w:rPr>
        <w:t>提请减刑建议书</w:t>
      </w:r>
    </w:p>
    <w:p>
      <w:pPr>
        <w:autoSpaceDN w:val="0"/>
        <w:jc w:val="right"/>
        <w:rPr>
          <w:rFonts w:hint="eastAsia" w:ascii="仿宋" w:hAnsi="仿宋" w:eastAsia="仿宋" w:cs="仿宋"/>
          <w:sz w:val="32"/>
          <w:szCs w:val="32"/>
        </w:rPr>
      </w:pPr>
      <w:r>
        <w:rPr>
          <w:rFonts w:hint="eastAsia" w:ascii="仿宋" w:hAnsi="仿宋" w:eastAsia="仿宋" w:cs="仿宋"/>
          <w:sz w:val="32"/>
          <w:szCs w:val="32"/>
        </w:rPr>
        <w:t>(2024)黔六狱减字第280号</w:t>
      </w:r>
    </w:p>
    <w:p>
      <w:pPr>
        <w:keepNext w:val="0"/>
        <w:keepLines w:val="0"/>
        <w:pageBreakBefore w:val="0"/>
        <w:widowControl w:val="0"/>
        <w:kinsoku/>
        <w:wordWrap/>
        <w:overflowPunct/>
        <w:topLinePunct w:val="0"/>
        <w:autoSpaceDE/>
        <w:autoSpaceDN w:val="0"/>
        <w:bidi w:val="0"/>
        <w:adjustRightInd w:val="0"/>
        <w:snapToGrid w:val="0"/>
        <w:spacing w:line="52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罪犯赵春，男，1999年4月9日生，汉族，初中文化，贵州省贞丰县人。现在贵州省六盘水监狱服刑。</w:t>
      </w:r>
    </w:p>
    <w:p>
      <w:pPr>
        <w:keepNext w:val="0"/>
        <w:keepLines w:val="0"/>
        <w:pageBreakBefore w:val="0"/>
        <w:widowControl w:val="0"/>
        <w:kinsoku/>
        <w:wordWrap/>
        <w:overflowPunct/>
        <w:topLinePunct w:val="0"/>
        <w:autoSpaceDE/>
        <w:autoSpaceDN w:val="0"/>
        <w:bidi w:val="0"/>
        <w:adjustRightInd w:val="0"/>
        <w:snapToGrid w:val="0"/>
        <w:spacing w:line="52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2017年6月8日，贵州贞丰县人民法院作出（2017）黔2325刑初70号刑事附带民事判决书，判决赵春犯强奸罪,判处有期徒刑十一年八个月，犯盗窃罪，判处有期徒刑八个月，并处罚金人民币二千元，数罪并罚，总和刑期十二年四个月，决定执行十二年，并处罚金人民币二千元（刑期自2016年11月24日起至2028年11月23日止），罚金人民币2000.00元，判决赵春及同案赵聪、王光华连带赔偿附带民事诉讼原告人及法定代理人许忠江的各项经济损失共计人民币9000元。其中，赵春、王光华的赔偿份额其监护人倪红秀、毛兴翠连带承担责任。判决后该犯及同案不服，提出上诉，2017年8月7日贵州省黔西南布依族苗族自治州中级人民法院作出（2017）黔23刑终167号刑事裁定书，裁定驳回上诉，维持原判。</w:t>
      </w:r>
    </w:p>
    <w:p>
      <w:pPr>
        <w:keepNext w:val="0"/>
        <w:keepLines w:val="0"/>
        <w:pageBreakBefore w:val="0"/>
        <w:widowControl w:val="0"/>
        <w:kinsoku/>
        <w:wordWrap/>
        <w:overflowPunct/>
        <w:topLinePunct w:val="0"/>
        <w:autoSpaceDE/>
        <w:autoSpaceDN w:val="0"/>
        <w:bidi w:val="0"/>
        <w:adjustRightInd w:val="0"/>
        <w:snapToGrid w:val="0"/>
        <w:spacing w:line="52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判决发生法律效力后2017年8月14日交付贵州省太平监狱新犯收押分流中心，2017年11月3日调入贵州省六盘水监狱服刑。</w:t>
      </w:r>
    </w:p>
    <w:p>
      <w:pPr>
        <w:keepNext w:val="0"/>
        <w:keepLines w:val="0"/>
        <w:pageBreakBefore w:val="0"/>
        <w:widowControl w:val="0"/>
        <w:kinsoku/>
        <w:wordWrap/>
        <w:overflowPunct/>
        <w:topLinePunct w:val="0"/>
        <w:autoSpaceDE/>
        <w:autoSpaceDN w:val="0"/>
        <w:bidi w:val="0"/>
        <w:adjustRightInd w:val="0"/>
        <w:snapToGrid w:val="0"/>
        <w:spacing w:line="52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服刑期间执行刑期变动情况：2020年6月2日经贵州省六盘水市中级人民法院作出（2020）黔02刑更170号刑事裁定书，对罪犯赵春裁定减去有期徒刑三个月（刑期自2016年11月24日起至2028年8月23日止）；2022年6月27日经贵州省六盘水市中级人民法院作出（2022）黔02刑更130号刑事裁定书，对罪犯赵春裁定减去有期徒刑八个月（刑期自2016年11月24日起至2027年12月23日止），2022年7月1日送达。</w:t>
      </w:r>
    </w:p>
    <w:p>
      <w:pPr>
        <w:keepNext w:val="0"/>
        <w:keepLines w:val="0"/>
        <w:pageBreakBefore w:val="0"/>
        <w:widowControl w:val="0"/>
        <w:kinsoku/>
        <w:wordWrap/>
        <w:overflowPunct/>
        <w:topLinePunct w:val="0"/>
        <w:autoSpaceDE/>
        <w:autoSpaceDN w:val="0"/>
        <w:bidi w:val="0"/>
        <w:adjustRightInd w:val="0"/>
        <w:snapToGrid w:val="0"/>
        <w:spacing w:line="52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该犯自上次裁定减刑以来，确有悔改表现，具体事实如下：</w:t>
      </w:r>
    </w:p>
    <w:p>
      <w:pPr>
        <w:keepNext w:val="0"/>
        <w:keepLines w:val="0"/>
        <w:pageBreakBefore w:val="0"/>
        <w:widowControl w:val="0"/>
        <w:kinsoku/>
        <w:wordWrap/>
        <w:overflowPunct/>
        <w:topLinePunct w:val="0"/>
        <w:autoSpaceDE/>
        <w:autoSpaceDN w:val="0"/>
        <w:bidi w:val="0"/>
        <w:adjustRightInd w:val="0"/>
        <w:snapToGrid w:val="0"/>
        <w:spacing w:line="52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一、认罪悔罪方面：罪犯赵春在服刑期间，能服从法院判决，认罪悔罪。</w:t>
      </w:r>
    </w:p>
    <w:p>
      <w:pPr>
        <w:keepNext w:val="0"/>
        <w:keepLines w:val="0"/>
        <w:pageBreakBefore w:val="0"/>
        <w:widowControl w:val="0"/>
        <w:kinsoku/>
        <w:wordWrap/>
        <w:overflowPunct/>
        <w:topLinePunct w:val="0"/>
        <w:autoSpaceDE/>
        <w:autoSpaceDN w:val="0"/>
        <w:bidi w:val="0"/>
        <w:adjustRightInd w:val="0"/>
        <w:snapToGrid w:val="0"/>
        <w:spacing w:line="52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二、遵守法律法规及监规方面：罪犯赵春在服刑期间，认真遵守法律法规及监规纪律，服从管教。</w:t>
      </w:r>
    </w:p>
    <w:p>
      <w:pPr>
        <w:keepNext w:val="0"/>
        <w:keepLines w:val="0"/>
        <w:pageBreakBefore w:val="0"/>
        <w:widowControl w:val="0"/>
        <w:kinsoku/>
        <w:wordWrap/>
        <w:overflowPunct/>
        <w:topLinePunct w:val="0"/>
        <w:autoSpaceDE/>
        <w:autoSpaceDN w:val="0"/>
        <w:bidi w:val="0"/>
        <w:adjustRightInd w:val="0"/>
        <w:snapToGrid w:val="0"/>
        <w:spacing w:line="52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三、教育改造方面：能接受教育改造，积极参加思想、文化、职业技术教育，“三课”学习成绩合格。</w:t>
      </w:r>
    </w:p>
    <w:p>
      <w:pPr>
        <w:keepNext w:val="0"/>
        <w:keepLines w:val="0"/>
        <w:pageBreakBefore w:val="0"/>
        <w:widowControl w:val="0"/>
        <w:kinsoku/>
        <w:wordWrap/>
        <w:overflowPunct/>
        <w:topLinePunct w:val="0"/>
        <w:autoSpaceDE/>
        <w:autoSpaceDN w:val="0"/>
        <w:bidi w:val="0"/>
        <w:adjustRightInd w:val="0"/>
        <w:snapToGrid w:val="0"/>
        <w:spacing w:line="52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四、劳动改造方面：能积极参加劳动，按时完成劳动任务，表现好。</w:t>
      </w:r>
    </w:p>
    <w:p>
      <w:pPr>
        <w:keepNext w:val="0"/>
        <w:keepLines w:val="0"/>
        <w:pageBreakBefore w:val="0"/>
        <w:widowControl w:val="0"/>
        <w:kinsoku/>
        <w:wordWrap/>
        <w:overflowPunct/>
        <w:topLinePunct w:val="0"/>
        <w:autoSpaceDE/>
        <w:autoSpaceDN w:val="0"/>
        <w:bidi w:val="0"/>
        <w:adjustRightInd w:val="0"/>
        <w:snapToGrid w:val="0"/>
        <w:spacing w:line="52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五、履行财产性判项方面：罚金人民币2000元(已全部缴纳)；民事赔偿人民币9000元(已全部缴纳)。</w:t>
      </w:r>
    </w:p>
    <w:p>
      <w:pPr>
        <w:keepNext w:val="0"/>
        <w:keepLines w:val="0"/>
        <w:pageBreakBefore w:val="0"/>
        <w:widowControl w:val="0"/>
        <w:kinsoku/>
        <w:wordWrap/>
        <w:overflowPunct/>
        <w:topLinePunct w:val="0"/>
        <w:autoSpaceDE/>
        <w:autoSpaceDN w:val="0"/>
        <w:bidi w:val="0"/>
        <w:adjustRightInd w:val="0"/>
        <w:snapToGrid w:val="0"/>
        <w:spacing w:line="52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考核奖励情况：2021年9月至2022年2月获1个表扬；2022年3月至2022年7月获1个表扬；2022年8月至2023年1月获表扬和物质奖励1次；2023年2月至2023年7月获1个表扬；2023年8月至2023年12月获1个表扬；获得共5个表扬、1个物质奖励。</w:t>
      </w:r>
    </w:p>
    <w:p>
      <w:pPr>
        <w:keepNext w:val="0"/>
        <w:keepLines w:val="0"/>
        <w:pageBreakBefore w:val="0"/>
        <w:widowControl w:val="0"/>
        <w:kinsoku/>
        <w:wordWrap/>
        <w:overflowPunct/>
        <w:topLinePunct w:val="0"/>
        <w:autoSpaceDE/>
        <w:autoSpaceDN w:val="0"/>
        <w:bidi w:val="0"/>
        <w:adjustRightInd w:val="0"/>
        <w:snapToGrid w:val="0"/>
        <w:spacing w:line="52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扣分及违规情况：无。</w:t>
      </w:r>
    </w:p>
    <w:p>
      <w:pPr>
        <w:keepNext w:val="0"/>
        <w:keepLines w:val="0"/>
        <w:pageBreakBefore w:val="0"/>
        <w:widowControl w:val="0"/>
        <w:kinsoku/>
        <w:wordWrap/>
        <w:overflowPunct/>
        <w:topLinePunct w:val="0"/>
        <w:autoSpaceDE/>
        <w:autoSpaceDN w:val="0"/>
        <w:bidi w:val="0"/>
        <w:adjustRightInd w:val="0"/>
        <w:snapToGrid w:val="0"/>
        <w:spacing w:line="52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从严情形：强奸罪十年以上有期徒刑、性侵未成年人。</w:t>
      </w:r>
    </w:p>
    <w:p>
      <w:pPr>
        <w:keepNext w:val="0"/>
        <w:keepLines w:val="0"/>
        <w:pageBreakBefore w:val="0"/>
        <w:widowControl w:val="0"/>
        <w:kinsoku/>
        <w:wordWrap/>
        <w:overflowPunct/>
        <w:topLinePunct w:val="0"/>
        <w:autoSpaceDE/>
        <w:autoSpaceDN w:val="0"/>
        <w:bidi w:val="0"/>
        <w:adjustRightInd w:val="0"/>
        <w:snapToGrid w:val="0"/>
        <w:spacing w:line="52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检察机关审查意见：</w:t>
      </w:r>
      <w:r>
        <w:rPr>
          <w:rFonts w:hint="eastAsia" w:ascii="仿宋" w:hAnsi="仿宋" w:eastAsia="仿宋" w:cs="仿宋"/>
          <w:sz w:val="32"/>
          <w:szCs w:val="32"/>
          <w:u w:color="auto"/>
        </w:rPr>
        <w:t>经审查，我院认为：罪犯赵春符合提请减刑条件。未发现提请减刑建议不当，同意将案件交监狱长办公会审核。</w:t>
      </w:r>
    </w:p>
    <w:p>
      <w:pPr>
        <w:keepNext w:val="0"/>
        <w:keepLines w:val="0"/>
        <w:pageBreakBefore w:val="0"/>
        <w:widowControl w:val="0"/>
        <w:kinsoku/>
        <w:wordWrap/>
        <w:overflowPunct/>
        <w:topLinePunct w:val="0"/>
        <w:autoSpaceDE/>
        <w:autoSpaceDN w:val="0"/>
        <w:bidi w:val="0"/>
        <w:adjustRightInd w:val="0"/>
        <w:snapToGrid w:val="0"/>
        <w:spacing w:line="52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综上所述，罪犯赵春自上次裁定减刑以来，能认真遵守监规，接受教育改造，确有悔改表现。</w:t>
      </w:r>
    </w:p>
    <w:p>
      <w:pPr>
        <w:keepNext w:val="0"/>
        <w:keepLines w:val="0"/>
        <w:pageBreakBefore w:val="0"/>
        <w:widowControl w:val="0"/>
        <w:kinsoku/>
        <w:wordWrap/>
        <w:overflowPunct/>
        <w:topLinePunct w:val="0"/>
        <w:autoSpaceDE/>
        <w:autoSpaceDN w:val="0"/>
        <w:bidi w:val="0"/>
        <w:adjustRightInd w:val="0"/>
        <w:snapToGrid w:val="0"/>
        <w:spacing w:line="52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为此，根据《中华人民共和国刑法》第七十八条第一款，第七十九条、《中华人民共和国刑事</w:t>
      </w:r>
      <w:bookmarkStart w:id="0" w:name="_GoBack"/>
      <w:bookmarkEnd w:id="0"/>
      <w:r>
        <w:rPr>
          <w:rFonts w:hint="eastAsia" w:ascii="仿宋" w:hAnsi="仿宋" w:eastAsia="仿宋" w:cs="仿宋"/>
          <w:sz w:val="32"/>
          <w:szCs w:val="32"/>
        </w:rPr>
        <w:t>诉讼法》第二百七十三条、《中华人民共和国监狱法》第二十九条之规定，经征求检察机关意见，建议对罪犯赵春提请减去有期徒刑七个月。特提请裁定。</w:t>
      </w:r>
    </w:p>
    <w:p>
      <w:pPr>
        <w:keepNext w:val="0"/>
        <w:keepLines w:val="0"/>
        <w:pageBreakBefore w:val="0"/>
        <w:widowControl w:val="0"/>
        <w:kinsoku/>
        <w:wordWrap/>
        <w:overflowPunct/>
        <w:topLinePunct w:val="0"/>
        <w:autoSpaceDE/>
        <w:autoSpaceDN w:val="0"/>
        <w:bidi w:val="0"/>
        <w:adjustRightInd w:val="0"/>
        <w:snapToGrid w:val="0"/>
        <w:spacing w:line="52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此致</w:t>
      </w:r>
    </w:p>
    <w:p>
      <w:pPr>
        <w:keepNext w:val="0"/>
        <w:keepLines w:val="0"/>
        <w:pageBreakBefore w:val="0"/>
        <w:widowControl w:val="0"/>
        <w:kinsoku/>
        <w:wordWrap/>
        <w:overflowPunct/>
        <w:topLinePunct w:val="0"/>
        <w:autoSpaceDE/>
        <w:autoSpaceDN w:val="0"/>
        <w:bidi w:val="0"/>
        <w:adjustRightInd w:val="0"/>
        <w:snapToGrid w:val="0"/>
        <w:spacing w:line="520" w:lineRule="atLeast"/>
        <w:textAlignment w:val="auto"/>
        <w:rPr>
          <w:rFonts w:hint="eastAsia" w:ascii="仿宋" w:hAnsi="仿宋" w:eastAsia="仿宋" w:cs="仿宋"/>
          <w:sz w:val="32"/>
          <w:szCs w:val="32"/>
        </w:rPr>
      </w:pPr>
      <w:r>
        <w:rPr>
          <w:rFonts w:hint="eastAsia" w:ascii="仿宋" w:hAnsi="仿宋" w:eastAsia="仿宋" w:cs="仿宋"/>
          <w:sz w:val="32"/>
          <w:szCs w:val="32"/>
        </w:rPr>
        <w:t>六盘水市中级人民法院</w:t>
      </w:r>
    </w:p>
    <w:p>
      <w:pPr>
        <w:keepNext w:val="0"/>
        <w:keepLines w:val="0"/>
        <w:pageBreakBefore w:val="0"/>
        <w:widowControl w:val="0"/>
        <w:kinsoku/>
        <w:wordWrap/>
        <w:overflowPunct/>
        <w:topLinePunct w:val="0"/>
        <w:autoSpaceDE/>
        <w:autoSpaceDN w:val="0"/>
        <w:bidi w:val="0"/>
        <w:adjustRightInd w:val="0"/>
        <w:snapToGrid w:val="0"/>
        <w:spacing w:line="520" w:lineRule="atLeast"/>
        <w:textAlignment w:val="auto"/>
        <w:rPr>
          <w:rFonts w:hint="eastAsia"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0" b="0"/>
            <wp:wrapNone/>
            <wp:docPr id="1" name="图片 1" descr="{{gz}}"/>
            <wp:cNvGraphicFramePr/>
            <a:graphic xmlns:a="http://schemas.openxmlformats.org/drawingml/2006/main">
              <a:graphicData uri="http://schemas.openxmlformats.org/drawingml/2006/picture">
                <pic:pic xmlns:pic="http://schemas.openxmlformats.org/drawingml/2006/picture">
                  <pic:nvPicPr>
                    <pic:cNvPr id="1" name="图片 1" descr="{{gz}}"/>
                    <pic:cNvPicPr preferRelativeResize="0"/>
                  </pic:nvPicPr>
                  <pic:blipFill>
                    <a:blip r:embed="rId4">
                      <a:extLst>
                        <a:ext uri="{28A0092B-C50C-407E-A947-70E740481C1C}">
                          <a14:useLocalDpi xmlns:a14="http://schemas.microsoft.com/office/drawing/2010/main" val="0"/>
                        </a:ext>
                      </a:extLst>
                    </a:blip>
                    <a:stretch>
                      <a:fillRect/>
                    </a:stretch>
                  </pic:blipFill>
                  <pic:spPr>
                    <a:xfrm>
                      <a:off x="0" y="0"/>
                      <a:ext cx="1511935" cy="1511935"/>
                    </a:xfrm>
                    <a:prstGeom prst="rect">
                      <a:avLst/>
                    </a:prstGeom>
                  </pic:spPr>
                </pic:pic>
              </a:graphicData>
            </a:graphic>
          </wp:anchor>
        </w:drawing>
      </w:r>
    </w:p>
    <w:p>
      <w:pPr>
        <w:keepNext w:val="0"/>
        <w:keepLines w:val="0"/>
        <w:pageBreakBefore w:val="0"/>
        <w:widowControl w:val="0"/>
        <w:kinsoku/>
        <w:wordWrap/>
        <w:overflowPunct/>
        <w:topLinePunct w:val="0"/>
        <w:autoSpaceDE/>
        <w:autoSpaceDN w:val="0"/>
        <w:bidi w:val="0"/>
        <w:spacing w:line="520" w:lineRule="atLeast"/>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                               （公章）</w:t>
      </w:r>
    </w:p>
    <w:p>
      <w:pPr>
        <w:keepNext w:val="0"/>
        <w:keepLines w:val="0"/>
        <w:pageBreakBefore w:val="0"/>
        <w:widowControl w:val="0"/>
        <w:kinsoku/>
        <w:wordWrap/>
        <w:overflowPunct/>
        <w:topLinePunct w:val="0"/>
        <w:autoSpaceDE/>
        <w:autoSpaceDN w:val="0"/>
        <w:bidi w:val="0"/>
        <w:adjustRightInd w:val="0"/>
        <w:snapToGrid w:val="0"/>
        <w:spacing w:line="520" w:lineRule="atLeast"/>
        <w:ind w:firstLine="5760" w:firstLineChars="1800"/>
        <w:textAlignment w:val="auto"/>
        <w:rPr>
          <w:rFonts w:hint="eastAsia" w:ascii="仿宋" w:hAnsi="仿宋" w:eastAsia="仿宋" w:cs="仿宋"/>
          <w:sz w:val="32"/>
          <w:szCs w:val="32"/>
        </w:rPr>
      </w:pPr>
      <w:r>
        <w:rPr>
          <w:rFonts w:hint="eastAsia" w:ascii="仿宋" w:hAnsi="仿宋" w:eastAsia="仿宋" w:cs="仿宋"/>
          <w:sz w:val="32"/>
          <w:szCs w:val="32"/>
        </w:rPr>
        <w:t>2024年10月29日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D39"/>
    <w:rsid w:val="0001095D"/>
    <w:rsid w:val="00011192"/>
    <w:rsid w:val="0008003A"/>
    <w:rsid w:val="000810F6"/>
    <w:rsid w:val="00095866"/>
    <w:rsid w:val="00096338"/>
    <w:rsid w:val="000B6902"/>
    <w:rsid w:val="00103704"/>
    <w:rsid w:val="001357D9"/>
    <w:rsid w:val="00144EB4"/>
    <w:rsid w:val="0018278E"/>
    <w:rsid w:val="001A1570"/>
    <w:rsid w:val="001C2D60"/>
    <w:rsid w:val="00224BFC"/>
    <w:rsid w:val="00226CE6"/>
    <w:rsid w:val="00270A4C"/>
    <w:rsid w:val="002D3C35"/>
    <w:rsid w:val="00325907"/>
    <w:rsid w:val="00344724"/>
    <w:rsid w:val="00354911"/>
    <w:rsid w:val="003664E5"/>
    <w:rsid w:val="003B0BA6"/>
    <w:rsid w:val="003B1902"/>
    <w:rsid w:val="003C0EBA"/>
    <w:rsid w:val="003F1B1D"/>
    <w:rsid w:val="003F4405"/>
    <w:rsid w:val="003F4B79"/>
    <w:rsid w:val="00454451"/>
    <w:rsid w:val="00482A29"/>
    <w:rsid w:val="00493AD5"/>
    <w:rsid w:val="004A01FF"/>
    <w:rsid w:val="004C1D39"/>
    <w:rsid w:val="004E3655"/>
    <w:rsid w:val="00537D06"/>
    <w:rsid w:val="00576181"/>
    <w:rsid w:val="005A3797"/>
    <w:rsid w:val="005C0D91"/>
    <w:rsid w:val="005C6701"/>
    <w:rsid w:val="006054B6"/>
    <w:rsid w:val="006440D6"/>
    <w:rsid w:val="006A7F87"/>
    <w:rsid w:val="006E02BE"/>
    <w:rsid w:val="006F5257"/>
    <w:rsid w:val="006F6322"/>
    <w:rsid w:val="00706312"/>
    <w:rsid w:val="007112C6"/>
    <w:rsid w:val="00725EA2"/>
    <w:rsid w:val="007500E1"/>
    <w:rsid w:val="007566C7"/>
    <w:rsid w:val="00764BF8"/>
    <w:rsid w:val="00766490"/>
    <w:rsid w:val="007A33CE"/>
    <w:rsid w:val="007D3AE9"/>
    <w:rsid w:val="007E3350"/>
    <w:rsid w:val="00823D12"/>
    <w:rsid w:val="008339C5"/>
    <w:rsid w:val="008376FE"/>
    <w:rsid w:val="00842436"/>
    <w:rsid w:val="00847C6F"/>
    <w:rsid w:val="0091030D"/>
    <w:rsid w:val="0091771C"/>
    <w:rsid w:val="009A6D92"/>
    <w:rsid w:val="009F23F8"/>
    <w:rsid w:val="00A23A86"/>
    <w:rsid w:val="00A33418"/>
    <w:rsid w:val="00A34AA4"/>
    <w:rsid w:val="00A45F7E"/>
    <w:rsid w:val="00A527AB"/>
    <w:rsid w:val="00A92539"/>
    <w:rsid w:val="00AD3DCB"/>
    <w:rsid w:val="00B0168D"/>
    <w:rsid w:val="00B036E8"/>
    <w:rsid w:val="00B143CF"/>
    <w:rsid w:val="00B238B2"/>
    <w:rsid w:val="00B42589"/>
    <w:rsid w:val="00B60C0A"/>
    <w:rsid w:val="00B65C22"/>
    <w:rsid w:val="00B81F19"/>
    <w:rsid w:val="00BA4718"/>
    <w:rsid w:val="00BB2264"/>
    <w:rsid w:val="00BD2912"/>
    <w:rsid w:val="00BE1339"/>
    <w:rsid w:val="00C915DA"/>
    <w:rsid w:val="00CB4D10"/>
    <w:rsid w:val="00CB62A8"/>
    <w:rsid w:val="00CC20CA"/>
    <w:rsid w:val="00CF5498"/>
    <w:rsid w:val="00D57885"/>
    <w:rsid w:val="00D6520F"/>
    <w:rsid w:val="00DA573F"/>
    <w:rsid w:val="00DA7C94"/>
    <w:rsid w:val="00DB46B2"/>
    <w:rsid w:val="00DC0DB9"/>
    <w:rsid w:val="00E17E44"/>
    <w:rsid w:val="00E35A25"/>
    <w:rsid w:val="00E5365A"/>
    <w:rsid w:val="00F1390E"/>
    <w:rsid w:val="00F67054"/>
    <w:rsid w:val="00FF2D7C"/>
    <w:rsid w:val="0FC17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uiPriority w:val="99"/>
    <w:rPr>
      <w:rFonts w:ascii="仿宋" w:hAnsi="仿宋" w:eastAsia="仿宋"/>
      <w:sz w:val="30"/>
      <w:szCs w:val="30"/>
    </w:rPr>
  </w:style>
  <w:style w:type="paragraph" w:styleId="3">
    <w:name w:val="Closing"/>
    <w:basedOn w:val="1"/>
    <w:link w:val="12"/>
    <w:unhideWhenUsed/>
    <w:uiPriority w:val="99"/>
    <w:pPr>
      <w:ind w:left="100" w:leftChars="2100"/>
    </w:pPr>
    <w:rPr>
      <w:rFonts w:ascii="仿宋" w:hAnsi="仿宋" w:eastAsia="仿宋"/>
      <w:sz w:val="30"/>
      <w:szCs w:val="30"/>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uiPriority w:val="99"/>
    <w:rPr>
      <w:sz w:val="18"/>
      <w:szCs w:val="18"/>
    </w:rPr>
  </w:style>
  <w:style w:type="character" w:customStyle="1" w:styleId="10">
    <w:name w:val="页脚 字符"/>
    <w:basedOn w:val="8"/>
    <w:link w:val="4"/>
    <w:uiPriority w:val="99"/>
    <w:rPr>
      <w:sz w:val="18"/>
      <w:szCs w:val="18"/>
    </w:rPr>
  </w:style>
  <w:style w:type="character" w:customStyle="1" w:styleId="11">
    <w:name w:val="称呼 字符"/>
    <w:basedOn w:val="8"/>
    <w:link w:val="2"/>
    <w:uiPriority w:val="99"/>
    <w:rPr>
      <w:rFonts w:ascii="仿宋" w:hAnsi="仿宋" w:eastAsia="仿宋"/>
      <w:sz w:val="30"/>
      <w:szCs w:val="30"/>
    </w:rPr>
  </w:style>
  <w:style w:type="character" w:customStyle="1" w:styleId="12">
    <w:name w:val="结束语 字符"/>
    <w:basedOn w:val="8"/>
    <w:link w:val="3"/>
    <w:uiPriority w:val="99"/>
    <w:rPr>
      <w:rFonts w:ascii="仿宋" w:hAnsi="仿宋" w:eastAsia="仿宋"/>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Words>
  <Characters>190</Characters>
  <Lines>1</Lines>
  <Paragraphs>1</Paragraphs>
  <TotalTime>92</TotalTime>
  <ScaleCrop>false</ScaleCrop>
  <LinksUpToDate>false</LinksUpToDate>
  <CharactersWithSpaces>222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2022-10-06T01:49:00Z</dcterms:created>
  <dc:creator>曾 三</dc:creator>
  <cp:lastModifiedBy>Administrator</cp:lastModifiedBy>
  <dcterms:modified xsi:type="dcterms:W3CDTF">2024-11-01T01:38:18Z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34DF10DE356048C69337B6BD7C94B69A</vt:lpwstr>
  </property>
</Properties>
</file>