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(2024)桐监减字第19号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罪犯龙兴昌，男，1969年7月28日生，苗族，小学文化，贵州省丹寨县人。现在贵州省桐州监狱服刑。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2021年10月22日，贵州省凯里市人民法院作出（2021）黔2601刑初194号刑事判决，认定龙兴昌犯危害国家重点保护植物罪，判处有期徒刑四年，并处罚金2万元；犯盗伐林木罪，判处有期徒刑六个月，并处罚金3000元，数罪并罚，决定执行有期徒刑四年四个月，罚金人民币23000.00元，刑期自2022年6月20日起至2026年10月19日止。同案不服，提出上诉；2022年3月30日，贵州省黔东南苗族侗族自治州中级人民法院作出（2022）黔26刑终68号刑事裁定，驳回上诉，维持原判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判决发生法律效力后2022年7月21日交付执行，2022年10月31日从贵州省凯里监狱调入贵州省桐州监狱服刑。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服刑期间执行刑期变动情况：无。刑期2022年6月20日至2026年10月19日。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一、认罪悔罪、遵守法律法规及监规方面：罪犯龙兴昌在服刑期间，能服从法院判决，认罪悔罪，认真遵守法律法规及监规纪律，服从管教。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三、劳动改造方面：主要从事布玩加工、生活卫生岗位，能积极参加劳动，按时完成劳动任务，表现较好。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四、履行财产性判项方面：罚金人民币23000.00元（已部分履行人民币1688.79元）；退缴违法所得人民币7900.00元（上缴国库）。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五、考核奖励情况：2022年7月至2023年3月获1个表扬；2023年4月至2023年9月获1个表扬；获得共2个表扬。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从严情形：该犯财产性判项未履行完毕。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综上所述，罪犯龙兴昌在服刑改造期间，能认真遵守监规，接受教育改造，确有悔改表现。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龙兴昌提请减去有期徒刑五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6972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2024-06-03T00:49:36Z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FF036AF33EF54E389FEDB37282F9DA55</vt:lpwstr>
  </property>
</Properties>
</file>