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ascii="方正小标宋简体" w:hAnsi="方正小标宋简体" w:eastAsia="方正小标宋简体"/>
          <w:sz w:val="44"/>
          <w:szCs w:val="44"/>
        </w:rPr>
        <w:t>提请减刑建议书</w:t>
      </w:r>
    </w:p>
    <w:p>
      <w:pPr>
        <w:jc w:val="right"/>
        <w:rPr>
          <w:rFonts w:ascii="楷体" w:hAnsi="楷体" w:eastAsia="楷体"/>
          <w:sz w:val="32"/>
          <w:szCs w:val="32"/>
        </w:rPr>
      </w:pPr>
      <w:r>
        <w:rPr>
          <w:rFonts w:ascii="楷体" w:hAnsi="楷体" w:eastAsia="楷体"/>
          <w:sz w:val="32"/>
          <w:szCs w:val="32"/>
        </w:rPr>
        <w:t>(2024)桐监减字第6号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罪犯覃信均，男，1987年12月8日生，汉族，初中文化，贵州省余庆县人。现在贵州省桐州监狱服刑。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2022年3月11日，贵州省余庆县人民法院作出（2022）黔0329 刑初42号刑事判决，认定覃信均犯盗窃罪，判处有期徒刑三年六个月，罚金人民币8000.00元；责令共同退赔被害人损失共计47686元。刑期自2021年11月4日起至2025年5月3日止。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判决发生法律效力后2022年4月20日交付执行，2022年5月31日从贵州省凯里监狱调入贵州省桐州监狱服刑。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服刑期间执行刑期变动情况：无。刑期2021年11月4日至2025年5月3日。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该犯在服刑改造期间,确有悔改（立功）表现，具体事实如下：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一、认罪悔罪、遵守法律法规及监规方面：罪犯覃信均在服刑期间，能服从法院判决，认罪悔罪，认真遵守法律法规及监规纪律，服从管教。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二、教育改造方面：能接受教育改造，积极参加思想、文化、职业技术教育，“三课”学习成绩合格。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三、劳动改造方面：能端正好劳动态度，积极参加劳动，听从安排和分配，主要从事缝纫、生产辅助、值星员等岗位，按时完成劳动任务，表现较好。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四、履行财产性判项方面：罚金人民币8000.00元(未缴纳)；责令共同退赔被害人损失共计47686.00元(未缴纳)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五、考核奖励情况：2022年4月至2022年12月获1个表扬；2023年1月至2023年6月获1个表扬；2023年7月至2023年12月获1个表扬；获得共3个表扬。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扣分及违规情况：无。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从严情形：该犯财产性判项未履行;犯罪经历。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检察机关审查意见：</w:t>
      </w:r>
      <w:r>
        <w:rPr>
          <w:rFonts w:ascii="仿宋_GB2312" w:hAnsi="仿宋_GB2312" w:eastAsia="仿宋_GB2312"/>
          <w:sz w:val="32"/>
          <w:u w:val="none" w:color="00000A"/>
        </w:rPr>
        <w:t>符合减刑条件，同意提请减刑。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综上所述，罪犯覃信均在服刑改造期间，能认真遵守监规，接受教育改造，确有悔改表现。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为此，根据《中华人民共和国刑法》第七十八条第一款，第七十九条、《中华人民共和国刑事诉讼法》第二百七十三条、《中华人民共和国监狱法》第二十九条之规定，经征求检察机关意见，建议对罪犯覃信均提请减去有期徒刑七个月。特提请裁定。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此致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黔南布依族苗族自治州中级人民法院</w:t>
      </w:r>
    </w:p>
    <w:tbl>
      <w:tblPr>
        <w:tblStyle w:val="10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5"/>
        <w:gridCol w:w="3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7" w:hRule="atLeast"/>
        </w:trPr>
        <w:tc>
          <w:tcPr>
            <w:tcW w:w="4814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3481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2"/>
                <w:szCs w:val="32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（公章）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2024年5月8日</w:t>
            </w:r>
          </w:p>
        </w:tc>
      </w:tr>
    </w:tbl>
    <w:p/>
    <w:sectPr>
      <w:pgSz w:w="11906" w:h="16838"/>
      <w:pgMar w:top="1440" w:right="1800" w:bottom="1440" w:left="1800" w:header="0" w:footer="0" w:gutter="0"/>
      <w:pgNumType w:fmt="decimal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文泉驿点阵正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B153B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bidi w:val="0"/>
      <w:jc w:val="both"/>
    </w:pPr>
    <w:rPr>
      <w:rFonts w:asciiTheme="minorHAnsi" w:hAnsiTheme="minorHAnsi" w:eastAsiaTheme="minorEastAsia" w:cstheme="minorBidi"/>
      <w:color w:val="auto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3">
    <w:name w:val="Salutation"/>
    <w:basedOn w:val="1"/>
    <w:next w:val="1"/>
    <w:unhideWhenUsed/>
    <w:qFormat/>
    <w:uiPriority w:val="99"/>
    <w:rPr>
      <w:rFonts w:ascii="仿宋" w:hAnsi="仿宋" w:eastAsia="仿宋"/>
      <w:sz w:val="30"/>
      <w:szCs w:val="30"/>
    </w:rPr>
  </w:style>
  <w:style w:type="paragraph" w:styleId="4">
    <w:name w:val="Closing"/>
    <w:basedOn w:val="1"/>
    <w:unhideWhenUsed/>
    <w:qFormat/>
    <w:uiPriority w:val="99"/>
    <w:pPr>
      <w:ind w:left="100" w:firstLine="0"/>
    </w:pPr>
    <w:rPr>
      <w:rFonts w:ascii="仿宋" w:hAnsi="仿宋" w:eastAsia="仿宋"/>
      <w:sz w:val="30"/>
      <w:szCs w:val="30"/>
    </w:rPr>
  </w:style>
  <w:style w:type="paragraph" w:styleId="5">
    <w:name w:val="Body Text"/>
    <w:basedOn w:val="1"/>
    <w:uiPriority w:val="0"/>
    <w:pPr>
      <w:spacing w:before="0" w:after="140" w:line="288" w:lineRule="auto"/>
    </w:pPr>
  </w:style>
  <w:style w:type="paragraph" w:styleId="6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nhideWhenUsed/>
    <w:uiPriority w:val="99"/>
    <w:pPr>
      <w:pBdr>
        <w:bottom w:val="single" w:color="00000A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5"/>
    <w:qFormat/>
    <w:uiPriority w:val="0"/>
    <w:rPr>
      <w:rFonts w:cs="Lohit Devanagari"/>
    </w:rPr>
  </w:style>
  <w:style w:type="table" w:styleId="10">
    <w:name w:val="Table Grid"/>
    <w:basedOn w:val="9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qFormat/>
    <w:uiPriority w:val="99"/>
    <w:rPr>
      <w:sz w:val="18"/>
      <w:szCs w:val="18"/>
    </w:rPr>
  </w:style>
  <w:style w:type="character" w:customStyle="1" w:styleId="13">
    <w:name w:val="页脚 字符"/>
    <w:basedOn w:val="11"/>
    <w:qFormat/>
    <w:uiPriority w:val="99"/>
    <w:rPr>
      <w:sz w:val="18"/>
      <w:szCs w:val="18"/>
    </w:rPr>
  </w:style>
  <w:style w:type="character" w:customStyle="1" w:styleId="14">
    <w:name w:val="称呼 字符"/>
    <w:basedOn w:val="11"/>
    <w:qFormat/>
    <w:uiPriority w:val="99"/>
    <w:rPr>
      <w:rFonts w:ascii="仿宋" w:hAnsi="仿宋" w:eastAsia="仿宋"/>
      <w:sz w:val="30"/>
      <w:szCs w:val="30"/>
    </w:rPr>
  </w:style>
  <w:style w:type="character" w:customStyle="1" w:styleId="15">
    <w:name w:val="结束语 字符"/>
    <w:basedOn w:val="11"/>
    <w:qFormat/>
    <w:uiPriority w:val="99"/>
    <w:rPr>
      <w:rFonts w:ascii="仿宋" w:hAnsi="仿宋" w:eastAsia="仿宋"/>
      <w:sz w:val="30"/>
      <w:szCs w:val="30"/>
    </w:rPr>
  </w:style>
  <w:style w:type="paragraph" w:customStyle="1" w:styleId="16">
    <w:name w:val="Heading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文泉驿点阵正黑" w:cs="Lohit Devanagari"/>
      <w:sz w:val="28"/>
      <w:szCs w:val="28"/>
    </w:rPr>
  </w:style>
  <w:style w:type="paragraph" w:customStyle="1" w:styleId="17">
    <w:name w:val="Index"/>
    <w:basedOn w:val="1"/>
    <w:qFormat/>
    <w:uiPriority w:val="0"/>
    <w:pPr>
      <w:suppressLineNumbers/>
    </w:pPr>
    <w:rPr>
      <w:rFonts w:cs="Lohit Devanaga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160</Characters>
  <Paragraphs>1</Paragraphs>
  <TotalTime>77</TotalTime>
  <ScaleCrop>false</ScaleCrop>
  <LinksUpToDate>false</LinksUpToDate>
  <CharactersWithSpaces>187</CharactersWithSpaces>
  <Application>WPS Office_11.8.2.12011_F1E327BC-269C-435d-A152-05C5408002CA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2022-10-06T01:49:00Z</dcterms:created>
  <dc:creator>曾 三</dc:creator>
  <cp:lastModifiedBy>wps</cp:lastModifiedBy>
  <dcterms:modified xsi:type="dcterms:W3CDTF">2024-06-03T00:48:09Z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2052-11.8.2.12011</vt:lpwstr>
  </property>
  <property fmtid="{D5CDD505-2E9C-101B-9397-08002B2CF9AE}" pid="9" name="ICV">
    <vt:lpwstr>11ACAC644A2A44C79C530C9E711A0944</vt:lpwstr>
  </property>
</Properties>
</file>