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ascii="方正小标宋简体" w:hAnsi="方正小标宋简体" w:eastAsia="方正小标宋简体"/>
          <w:sz w:val="44"/>
          <w:szCs w:val="44"/>
        </w:rPr>
        <w:t>提请减刑建议书</w:t>
      </w:r>
    </w:p>
    <w:p>
      <w:pPr>
        <w:jc w:val="right"/>
        <w:rPr>
          <w:rFonts w:ascii="楷体" w:hAnsi="楷体" w:eastAsia="楷体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>(2024)桐监减字第7号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罪犯赵云龙，男，2001年7月1日生，汉族，初中文化，贵州省惠水县人。现在贵州省桐州监狱服刑。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2022年3月2日，贵州省惠水县人民法院作出（2022）黔2731刑初13号刑事判决，认定赵云龙犯帮助信息网络犯罪活动罪，判处有期徒刑八个月，并处罚金5000元；犯掩饰、隐瞒犯罪所得罪，判处有期徒刑三年，并处罚金8000元；数罪并罚，决定执行有期徒刑三年六个月，并处罚金人民币13000.00元；继续追缴违法所得人民币49391.00元。刑期自2021年11月15日起至2025年5月14日止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判决发生法律效力后2022年4月20日交付执行，2022年5月31日从贵州省凯里监狱调入贵州省桐州监狱服刑。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服刑期间执行刑期变动情况：无。刑期2021年11月15日至2025年5月14日。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该犯在服刑改造期间,确有悔改（立功）表现，具体事实如下：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一、认罪悔罪、遵守法律法规及监规方面：罪犯赵云龙在服刑期间，能服从法院判决，认罪悔罪，认真遵守法律法规及监规纪律，服从管教。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二、教育改造方面：能接受教育改造，积极参加思想、文化、职业技术教育，“三课”学习成绩合格。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三、劳动改造方面：积极参加劳动，劳动态度端正，服从安排，主要从事数据线焊锡、值星员、生产辅助等岗位，能按时完成劳动任务，表现较好。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四、履行财产性判项方面：罚金人民币13000.00元(已部分缴纳3000.00元)；追缴违法所得人民币49391.00元(未缴纳)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五、考核奖励情况：2022年4月至2022年12月获1个表扬；2023年1月至2023年6月获1个表扬；2023年7月至2023年12月获1个表扬；获得共3个表扬。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扣分及违规情况：2024年4月2日，因在贵州监狱“捎买带”行为专项整治工作交叉清监过程中，清查出罪犯赵云龙私改床单一床，给予扣分5分。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从严情形：该犯财产性判项未履行完毕。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检察机关审查意见：</w:t>
      </w:r>
      <w:r>
        <w:rPr>
          <w:rFonts w:ascii="仿宋_GB2312" w:hAnsi="仿宋_GB2312" w:eastAsia="仿宋_GB2312"/>
          <w:sz w:val="32"/>
          <w:u w:val="none" w:color="00000A"/>
        </w:rPr>
        <w:t>符合减刑条件，建议对该犯减刑幅度从严掌握，监狱长办公会予以采纳。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综上所述，罪犯赵云龙在服刑改造期间，能认真遵守监规，接受教育改造，确有悔改表现。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为此，根据《中华人民共和国刑法》第七十八条第一款，第七十九条、《中华人民共和国刑事诉讼法》第二百七十三条、《中华人民共和国监狱法》第二十九条之规定，经征求检察机关意见，建议对罪犯赵云龙提请减去有期徒刑七个月。特提请裁定。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此致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黔南布依族苗族自治州中级人民法院</w:t>
      </w:r>
    </w:p>
    <w:tbl>
      <w:tblPr>
        <w:tblStyle w:val="10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5"/>
        <w:gridCol w:w="3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7" w:hRule="atLeast"/>
        </w:trPr>
        <w:tc>
          <w:tcPr>
            <w:tcW w:w="4814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3481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2"/>
                <w:szCs w:val="32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（公章）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2024年5月8日</w:t>
            </w:r>
          </w:p>
        </w:tc>
      </w:tr>
    </w:tbl>
    <w:p/>
    <w:sectPr>
      <w:pgSz w:w="11906" w:h="16838"/>
      <w:pgMar w:top="1440" w:right="1800" w:bottom="1440" w:left="1800" w:header="0" w:footer="0" w:gutter="0"/>
      <w:pgNumType w:fmt="decimal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文泉驿点阵正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E307D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bidi w:val="0"/>
      <w:jc w:val="both"/>
    </w:pPr>
    <w:rPr>
      <w:rFonts w:asciiTheme="minorHAnsi" w:hAnsiTheme="minorHAnsi" w:eastAsiaTheme="minorEastAsia" w:cstheme="minorBidi"/>
      <w:color w:val="auto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3">
    <w:name w:val="Salutation"/>
    <w:basedOn w:val="1"/>
    <w:next w:val="1"/>
    <w:unhideWhenUsed/>
    <w:qFormat/>
    <w:uiPriority w:val="99"/>
    <w:rPr>
      <w:rFonts w:ascii="仿宋" w:hAnsi="仿宋" w:eastAsia="仿宋"/>
      <w:sz w:val="30"/>
      <w:szCs w:val="30"/>
    </w:rPr>
  </w:style>
  <w:style w:type="paragraph" w:styleId="4">
    <w:name w:val="Closing"/>
    <w:basedOn w:val="1"/>
    <w:unhideWhenUsed/>
    <w:qFormat/>
    <w:uiPriority w:val="99"/>
    <w:pPr>
      <w:ind w:left="100" w:firstLine="0"/>
    </w:pPr>
    <w:rPr>
      <w:rFonts w:ascii="仿宋" w:hAnsi="仿宋" w:eastAsia="仿宋"/>
      <w:sz w:val="30"/>
      <w:szCs w:val="30"/>
    </w:rPr>
  </w:style>
  <w:style w:type="paragraph" w:styleId="5">
    <w:name w:val="Body Text"/>
    <w:basedOn w:val="1"/>
    <w:qFormat/>
    <w:uiPriority w:val="0"/>
    <w:pPr>
      <w:spacing w:before="0" w:after="140" w:line="288" w:lineRule="auto"/>
    </w:p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nhideWhenUsed/>
    <w:qFormat/>
    <w:uiPriority w:val="99"/>
    <w:pPr>
      <w:pBdr>
        <w:bottom w:val="single" w:color="00000A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5"/>
    <w:qFormat/>
    <w:uiPriority w:val="0"/>
    <w:rPr>
      <w:rFonts w:cs="Lohit Devanagari"/>
    </w:rPr>
  </w:style>
  <w:style w:type="table" w:styleId="10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qFormat/>
    <w:uiPriority w:val="99"/>
    <w:rPr>
      <w:sz w:val="18"/>
      <w:szCs w:val="18"/>
    </w:rPr>
  </w:style>
  <w:style w:type="character" w:customStyle="1" w:styleId="13">
    <w:name w:val="页脚 字符"/>
    <w:basedOn w:val="11"/>
    <w:qFormat/>
    <w:uiPriority w:val="99"/>
    <w:rPr>
      <w:sz w:val="18"/>
      <w:szCs w:val="18"/>
    </w:rPr>
  </w:style>
  <w:style w:type="character" w:customStyle="1" w:styleId="14">
    <w:name w:val="称呼 字符"/>
    <w:basedOn w:val="11"/>
    <w:qFormat/>
    <w:uiPriority w:val="99"/>
    <w:rPr>
      <w:rFonts w:ascii="仿宋" w:hAnsi="仿宋" w:eastAsia="仿宋"/>
      <w:sz w:val="30"/>
      <w:szCs w:val="30"/>
    </w:rPr>
  </w:style>
  <w:style w:type="character" w:customStyle="1" w:styleId="15">
    <w:name w:val="结束语 字符"/>
    <w:basedOn w:val="11"/>
    <w:qFormat/>
    <w:uiPriority w:val="99"/>
    <w:rPr>
      <w:rFonts w:ascii="仿宋" w:hAnsi="仿宋" w:eastAsia="仿宋"/>
      <w:sz w:val="30"/>
      <w:szCs w:val="30"/>
    </w:rPr>
  </w:style>
  <w:style w:type="paragraph" w:customStyle="1" w:styleId="16">
    <w:name w:val="Heading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文泉驿点阵正黑" w:cs="Lohit Devanagari"/>
      <w:sz w:val="28"/>
      <w:szCs w:val="28"/>
    </w:rPr>
  </w:style>
  <w:style w:type="paragraph" w:customStyle="1" w:styleId="17">
    <w:name w:val="Index"/>
    <w:basedOn w:val="1"/>
    <w:qFormat/>
    <w:uiPriority w:val="0"/>
    <w:pPr>
      <w:suppressLineNumbers/>
    </w:pPr>
    <w:rPr>
      <w:rFonts w:cs="Lohit Devanaga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160</Characters>
  <Paragraphs>1</Paragraphs>
  <TotalTime>77</TotalTime>
  <ScaleCrop>false</ScaleCrop>
  <LinksUpToDate>false</LinksUpToDate>
  <CharactersWithSpaces>187</CharactersWithSpaces>
  <Application>WPS Office_11.8.2.12011_F1E327BC-269C-435d-A152-05C5408002CA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wps</cp:lastModifiedBy>
  <dcterms:modified xsi:type="dcterms:W3CDTF">2024-06-03T00:48:03Z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2052-11.8.2.12011</vt:lpwstr>
  </property>
  <property fmtid="{D5CDD505-2E9C-101B-9397-08002B2CF9AE}" pid="9" name="ICV">
    <vt:lpwstr>0B606DACBC0D4B61836997FCB5234D3B</vt:lpwstr>
  </property>
</Properties>
</file>