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(2024)桐监减字第8号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罪犯韦再，男，1978年5月9日生，水族，小学文化，贵州省三都水族自治县人。现在贵州省桐州监狱服刑。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2月23日，贵州省三都水族自治县人民法院作出（2022）黔2732刑初3号刑事判决，认定韦再犯盗窃罪，判处有期徒刑三年六个月，罚金人民币30000.00元，责令共同退赔82974.50元。同案不服，提出上诉。2022年6月7日，贵州省黔南布依族苗族自治州中级人民法院作出（2022）黔27刑终40号刑事裁定，驳回上诉，维持原判。刑期自2021年11月8日起至2025年5月7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判决发生法律效力后2022年7月21日交付执行，2022年10月31日从贵州省凯里监狱调入贵州省桐州监狱服刑。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服刑期间执行刑期变动情况：无。刑期2021年11月8日至2025年5月7日。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一、认罪悔罪、遵守法律法规及监规方面：罪犯韦再在服刑期间，能服从法院判决，认罪悔罪，认真遵守法律法规及监规纪律，服从管教。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三、劳动改造方面：能积极参加劳动，劳动态度较好，服从安排和管理，主要从事数据线套壳、数据线测试、值星员等岗位，完成好劳动任务，表现较好。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四、履行财产性判项方面：罚金人民币30000.00元(已部分缴纳3000.00元)；退赃退赔人民币82974.50元(未缴纳)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五、考核奖励情况：2022年7月至2023年3月获1个表扬；2023年4月至2023年9月获1个表扬；获得共2个表扬。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综上所述，罪犯韦再在服刑改造期间，能认真遵守监规，接受教育改造，确有悔改表现。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韦再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7B68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2024-06-03T00:47:50Z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AF47D4C229F54FE7AD532D05BB444FF9</vt:lpwstr>
  </property>
</Properties>
</file>