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hAnsi="方正小标宋简体" w:eastAsia="方正小标宋简体"/>
          <w:sz w:val="44"/>
          <w:szCs w:val="44"/>
        </w:rPr>
      </w:pPr>
      <w:r>
        <w:rPr>
          <w:rFonts w:ascii="方正小标宋简体" w:hAnsi="方正小标宋简体" w:eastAsia="方正小标宋简体"/>
          <w:sz w:val="44"/>
          <w:szCs w:val="44"/>
        </w:rPr>
        <w:t>提请假释建议书</w:t>
      </w:r>
    </w:p>
    <w:p>
      <w:pPr>
        <w:jc w:val="right"/>
        <w:rPr>
          <w:rFonts w:ascii="楷体" w:hAnsi="楷体" w:eastAsia="楷体"/>
          <w:sz w:val="32"/>
          <w:szCs w:val="32"/>
        </w:rPr>
      </w:pPr>
      <w:r>
        <w:rPr>
          <w:rFonts w:ascii="楷体" w:hAnsi="楷体" w:eastAsia="楷体"/>
          <w:sz w:val="32"/>
          <w:szCs w:val="32"/>
        </w:rPr>
        <w:t>(2024)桐监假字第3号</w:t>
      </w:r>
    </w:p>
    <w:p>
      <w:pPr>
        <w:snapToGrid w:val="0"/>
        <w:spacing w:line="480" w:lineRule="exact"/>
        <w:ind w:firstLine="640"/>
        <w:jc w:val="left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罪犯吴科全，男，1997年9月26日生，侗族，初中文化，贵州省黎平县人。现在贵州省桐州监狱服刑。</w:t>
      </w:r>
    </w:p>
    <w:p>
      <w:pPr>
        <w:snapToGrid w:val="0"/>
        <w:spacing w:line="480" w:lineRule="exact"/>
        <w:ind w:firstLine="640"/>
        <w:jc w:val="left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2022年9月7日，贵州省凯里市人民法院作出（2022）黔2601刑初359号刑事判决，认定吴科全犯传播淫秽物品牟利罪，判处有期徒刑三年，罚金人民币7000.00元，追缴违法所得人民币2200.00元。刑期自2022年5月17日起至2025年5月16日止。</w:t>
      </w:r>
    </w:p>
    <w:p>
      <w:pPr>
        <w:snapToGrid w:val="0"/>
        <w:spacing w:line="480" w:lineRule="exact"/>
        <w:ind w:firstLine="640"/>
        <w:jc w:val="left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判决发生法律效力后2022年11月14日交付执行，2023年1月5日从贵州省凯里监狱调入贵州省桐州监狱服刑。</w:t>
      </w:r>
    </w:p>
    <w:p>
      <w:pPr>
        <w:snapToGrid w:val="0"/>
        <w:spacing w:line="480" w:lineRule="exact"/>
        <w:ind w:firstLine="640"/>
        <w:jc w:val="left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服刑期间执行刑期变动情况：无。刑期2022年5月17日至2025年5月16日。</w:t>
      </w:r>
    </w:p>
    <w:p>
      <w:pPr>
        <w:snapToGrid w:val="0"/>
        <w:spacing w:line="480" w:lineRule="exact"/>
        <w:ind w:firstLine="640"/>
        <w:jc w:val="left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该犯在服刑改造期间，确有悔改表现，具体事实如下：</w:t>
      </w:r>
    </w:p>
    <w:p>
      <w:pPr>
        <w:snapToGrid w:val="0"/>
        <w:spacing w:line="480" w:lineRule="exact"/>
        <w:ind w:firstLine="640"/>
        <w:jc w:val="left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一、认罪悔罪方面：罪犯吴科全在服刑期间，服从法院判决，认罪悔罪。</w:t>
      </w:r>
    </w:p>
    <w:p>
      <w:pPr>
        <w:snapToGrid w:val="0"/>
        <w:spacing w:line="480" w:lineRule="exact"/>
        <w:ind w:firstLine="640"/>
        <w:jc w:val="left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二、遵守法律法规及监规方面：在服刑期间能认真遵守监规纪律，无违规违纪。</w:t>
      </w:r>
    </w:p>
    <w:p>
      <w:pPr>
        <w:snapToGrid w:val="0"/>
        <w:spacing w:line="480" w:lineRule="exact"/>
        <w:ind w:firstLine="640"/>
        <w:jc w:val="left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三、教育改造方面:能接受教育改造，积极参加思想、文化、职业技术教育，“三课”学习成绩合格。</w:t>
      </w:r>
    </w:p>
    <w:p>
      <w:pPr>
        <w:snapToGrid w:val="0"/>
        <w:spacing w:line="480" w:lineRule="exact"/>
        <w:ind w:firstLine="640"/>
        <w:jc w:val="left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四、劳动改造方面:能积极参加劳动，服从安排及管理，主要从事布玩平机岗位，能完成劳动任务，表现好。</w:t>
      </w:r>
    </w:p>
    <w:p>
      <w:pPr>
        <w:snapToGrid w:val="0"/>
        <w:spacing w:line="480" w:lineRule="exact"/>
        <w:ind w:firstLine="640"/>
        <w:jc w:val="left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五、履行财产性判项方面：罚金人民币7000元(已全部缴纳)；追缴违法所得人民币2200元(已全部缴纳)。</w:t>
      </w:r>
    </w:p>
    <w:p>
      <w:pPr>
        <w:snapToGrid w:val="0"/>
        <w:spacing w:line="480" w:lineRule="exact"/>
        <w:ind w:firstLine="640"/>
        <w:jc w:val="left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六、考核奖励情况：2022年11月至2023年7月获1个表扬；2023年8月至2024年1月获1个表扬；获得共2个表扬。</w:t>
      </w:r>
    </w:p>
    <w:p>
      <w:pPr>
        <w:snapToGrid w:val="0"/>
        <w:spacing w:line="480" w:lineRule="exact"/>
        <w:ind w:firstLine="640"/>
        <w:jc w:val="left"/>
        <w:rPr>
          <w:rFonts w:ascii="仿宋" w:hAnsi="仿宋" w:eastAsia="仿宋"/>
          <w:sz w:val="32"/>
          <w:szCs w:val="32"/>
        </w:rPr>
      </w:pPr>
    </w:p>
    <w:p>
      <w:pPr>
        <w:snapToGrid w:val="0"/>
        <w:spacing w:line="480" w:lineRule="exact"/>
        <w:ind w:firstLine="640"/>
        <w:jc w:val="left"/>
        <w:rPr>
          <w:rFonts w:ascii="仿宋" w:hAnsi="仿宋" w:eastAsia="仿宋"/>
          <w:sz w:val="32"/>
          <w:szCs w:val="32"/>
        </w:rPr>
      </w:pPr>
    </w:p>
    <w:p>
      <w:pPr>
        <w:snapToGrid w:val="0"/>
        <w:spacing w:line="480" w:lineRule="exact"/>
        <w:ind w:firstLine="640"/>
        <w:jc w:val="left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检察机关审查意见:同意假释。</w:t>
      </w:r>
    </w:p>
    <w:p>
      <w:pPr>
        <w:snapToGrid w:val="0"/>
        <w:spacing w:line="480" w:lineRule="exact"/>
        <w:ind w:firstLine="640"/>
        <w:jc w:val="left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综上所述，罪犯吴科全在服刑改造期间，能认真遵守监规，接受教育改造，确有悔改表现。社区矫正机关同意适用社区矫正，监狱经综合评估预测该犯没有再犯罪危险。</w:t>
      </w:r>
    </w:p>
    <w:p>
      <w:pPr>
        <w:snapToGrid w:val="0"/>
        <w:spacing w:line="480" w:lineRule="exact"/>
        <w:ind w:firstLine="640"/>
        <w:jc w:val="left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为此， 根据《中华人民共和国刑法》第八十一条、第八十二条、第八十三条，《中华人民共和国刑事诉讼法》 第二百七十三条第二款和《中华人民共和国监狱法》第三十二条之规定，建议对罪犯吴科全提请假释。特提请裁定。</w:t>
      </w:r>
    </w:p>
    <w:p>
      <w:pPr>
        <w:pStyle w:val="3"/>
        <w:snapToGrid w:val="0"/>
        <w:spacing w:line="480" w:lineRule="exact"/>
        <w:ind w:firstLine="640"/>
        <w:rPr>
          <w:sz w:val="32"/>
          <w:szCs w:val="32"/>
        </w:rPr>
      </w:pPr>
      <w:r>
        <w:rPr>
          <w:sz w:val="32"/>
          <w:szCs w:val="32"/>
        </w:rPr>
        <w:t>此致</w:t>
      </w:r>
      <w:bookmarkStart w:id="0" w:name="_GoBack"/>
      <w:bookmarkEnd w:id="0"/>
    </w:p>
    <w:p>
      <w:pPr>
        <w:pStyle w:val="3"/>
        <w:snapToGrid w:val="0"/>
        <w:spacing w:line="480" w:lineRule="exact"/>
        <w:rPr>
          <w:sz w:val="32"/>
          <w:szCs w:val="32"/>
        </w:rPr>
      </w:pPr>
      <w:r>
        <w:rPr>
          <w:sz w:val="32"/>
          <w:szCs w:val="32"/>
        </w:rPr>
        <w:t>黔南布依族苗族自治州中级人民法院</w:t>
      </w:r>
    </w:p>
    <w:tbl>
      <w:tblPr>
        <w:tblStyle w:val="10"/>
        <w:tblW w:w="82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15"/>
        <w:gridCol w:w="34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0" w:hRule="atLeast"/>
        </w:trPr>
        <w:tc>
          <w:tcPr>
            <w:tcW w:w="4814" w:type="dxa"/>
            <w:tcBorders>
              <w:top w:val="nil"/>
              <w:left w:val="nil"/>
              <w:right w:val="nil"/>
              <w:insideV w:val="nil"/>
            </w:tcBorders>
            <w:shd w:val="clear" w:color="auto" w:fill="auto"/>
          </w:tcPr>
          <w:p>
            <w:pPr>
              <w:rPr>
                <w:rFonts w:ascii="仿宋_GB2312" w:hAnsi="仿宋_GB2312" w:eastAsia="仿宋_GB2312"/>
                <w:sz w:val="32"/>
                <w:szCs w:val="32"/>
              </w:rPr>
            </w:pPr>
          </w:p>
        </w:tc>
        <w:tc>
          <w:tcPr>
            <w:tcW w:w="3481" w:type="dxa"/>
            <w:tcBorders>
              <w:top w:val="nil"/>
              <w:left w:val="nil"/>
              <w:right w:val="nil"/>
              <w:insideV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仿宋_GB2312" w:hAnsi="仿宋_GB2312" w:eastAsia="仿宋_GB2312"/>
                <w:sz w:val="32"/>
                <w:szCs w:val="32"/>
              </w:rPr>
            </w:pPr>
            <w:r>
              <w:rPr>
                <w:rFonts w:ascii="仿宋_GB2312" w:hAnsi="仿宋_GB2312" w:eastAsia="仿宋_GB2312"/>
                <w:sz w:val="32"/>
                <w:szCs w:val="32"/>
              </w:rPr>
              <w:t>（公章）</w:t>
            </w:r>
          </w:p>
          <w:p>
            <w:pPr>
              <w:jc w:val="center"/>
              <w:rPr>
                <w:rFonts w:ascii="仿宋_GB2312" w:hAnsi="仿宋_GB2312" w:eastAsia="仿宋_GB2312"/>
                <w:sz w:val="32"/>
                <w:szCs w:val="32"/>
              </w:rPr>
            </w:pPr>
            <w:r>
              <w:rPr>
                <w:rFonts w:ascii="仿宋_GB2312" w:hAnsi="仿宋_GB2312" w:eastAsia="仿宋_GB2312"/>
                <w:sz w:val="32"/>
                <w:szCs w:val="32"/>
              </w:rPr>
              <w:t>2024年7月10日</w:t>
            </w:r>
          </w:p>
        </w:tc>
      </w:tr>
    </w:tbl>
    <w:p/>
    <w:sectPr>
      <w:pgSz w:w="11906" w:h="16838"/>
      <w:pgMar w:top="1440" w:right="1800" w:bottom="1440" w:left="1800" w:header="0" w:footer="0" w:gutter="0"/>
      <w:pgNumType w:fmt="decimal"/>
      <w:cols w:space="720" w:num="1"/>
      <w:formProt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微软雅黑"/>
    <w:panose1 w:val="00000000000000000000"/>
    <w:charset w:val="01"/>
    <w:family w:val="roman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Liberation Sans">
    <w:altName w:val="Arial"/>
    <w:panose1 w:val="00000000000000000000"/>
    <w:charset w:val="01"/>
    <w:family w:val="swiss"/>
    <w:pitch w:val="default"/>
    <w:sig w:usb0="00000000" w:usb1="00000000" w:usb2="00000000" w:usb3="00000000" w:csb0="00000000" w:csb1="00000000"/>
  </w:font>
  <w:font w:name="文泉驿点阵正黑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Lohit Devanagari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roma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420"/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7597A27"/>
    <w:rsid w:val="6072350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qFormat="1" w:uiPriority="99" w:semiHidden="0" w:name="Closing"/>
    <w:lsdException w:uiPriority="99" w:name="Signature"/>
    <w:lsdException w:qFormat="1" w:uiPriority="1" w:name="Default Paragraph Font"/>
    <w:lsdException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bidi w:val="0"/>
      <w:jc w:val="both"/>
    </w:pPr>
    <w:rPr>
      <w:rFonts w:asciiTheme="minorHAnsi" w:hAnsiTheme="minorHAnsi" w:eastAsiaTheme="minorEastAsia" w:cstheme="minorBidi"/>
      <w:color w:val="auto"/>
      <w:sz w:val="21"/>
      <w:szCs w:val="22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caption"/>
    <w:basedOn w:val="1"/>
    <w:next w:val="1"/>
    <w:qFormat/>
    <w:uiPriority w:val="0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3">
    <w:name w:val="Salutation"/>
    <w:basedOn w:val="1"/>
    <w:next w:val="1"/>
    <w:unhideWhenUsed/>
    <w:uiPriority w:val="99"/>
    <w:rPr>
      <w:rFonts w:ascii="仿宋" w:hAnsi="仿宋" w:eastAsia="仿宋"/>
      <w:sz w:val="30"/>
      <w:szCs w:val="30"/>
    </w:rPr>
  </w:style>
  <w:style w:type="paragraph" w:styleId="4">
    <w:name w:val="Closing"/>
    <w:basedOn w:val="1"/>
    <w:unhideWhenUsed/>
    <w:qFormat/>
    <w:uiPriority w:val="99"/>
    <w:pPr>
      <w:ind w:left="100" w:firstLine="0"/>
    </w:pPr>
    <w:rPr>
      <w:rFonts w:ascii="仿宋" w:hAnsi="仿宋" w:eastAsia="仿宋"/>
      <w:sz w:val="30"/>
      <w:szCs w:val="30"/>
    </w:rPr>
  </w:style>
  <w:style w:type="paragraph" w:styleId="5">
    <w:name w:val="Body Text"/>
    <w:basedOn w:val="1"/>
    <w:uiPriority w:val="0"/>
    <w:pPr>
      <w:spacing w:before="0" w:after="140" w:line="288" w:lineRule="auto"/>
    </w:pPr>
  </w:style>
  <w:style w:type="paragraph" w:styleId="6">
    <w:name w:val="footer"/>
    <w:basedOn w:val="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unhideWhenUsed/>
    <w:qFormat/>
    <w:uiPriority w:val="99"/>
    <w:pPr>
      <w:pBdr>
        <w:bottom w:val="single" w:color="00000A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List"/>
    <w:basedOn w:val="5"/>
    <w:uiPriority w:val="0"/>
    <w:rPr>
      <w:rFonts w:cs="Lohit Devanagari"/>
    </w:rPr>
  </w:style>
  <w:style w:type="table" w:styleId="10">
    <w:name w:val="Table Grid"/>
    <w:basedOn w:val="9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2">
    <w:name w:val="页眉 字符"/>
    <w:basedOn w:val="11"/>
    <w:qFormat/>
    <w:uiPriority w:val="99"/>
    <w:rPr>
      <w:sz w:val="18"/>
      <w:szCs w:val="18"/>
    </w:rPr>
  </w:style>
  <w:style w:type="character" w:customStyle="1" w:styleId="13">
    <w:name w:val="页脚 字符"/>
    <w:basedOn w:val="11"/>
    <w:qFormat/>
    <w:uiPriority w:val="99"/>
    <w:rPr>
      <w:sz w:val="18"/>
      <w:szCs w:val="18"/>
    </w:rPr>
  </w:style>
  <w:style w:type="character" w:customStyle="1" w:styleId="14">
    <w:name w:val="称呼 字符"/>
    <w:basedOn w:val="11"/>
    <w:qFormat/>
    <w:uiPriority w:val="99"/>
    <w:rPr>
      <w:rFonts w:ascii="仿宋" w:hAnsi="仿宋" w:eastAsia="仿宋"/>
      <w:sz w:val="30"/>
      <w:szCs w:val="30"/>
    </w:rPr>
  </w:style>
  <w:style w:type="character" w:customStyle="1" w:styleId="15">
    <w:name w:val="结束语 字符"/>
    <w:basedOn w:val="11"/>
    <w:qFormat/>
    <w:uiPriority w:val="99"/>
    <w:rPr>
      <w:rFonts w:ascii="仿宋" w:hAnsi="仿宋" w:eastAsia="仿宋"/>
      <w:sz w:val="30"/>
      <w:szCs w:val="30"/>
    </w:rPr>
  </w:style>
  <w:style w:type="paragraph" w:customStyle="1" w:styleId="16">
    <w:name w:val="Heading"/>
    <w:basedOn w:val="1"/>
    <w:next w:val="5"/>
    <w:qFormat/>
    <w:uiPriority w:val="0"/>
    <w:pPr>
      <w:keepNext/>
      <w:spacing w:before="240" w:after="120"/>
    </w:pPr>
    <w:rPr>
      <w:rFonts w:ascii="Liberation Sans" w:hAnsi="Liberation Sans" w:eastAsia="文泉驿点阵正黑" w:cs="Lohit Devanagari"/>
      <w:sz w:val="28"/>
      <w:szCs w:val="28"/>
    </w:rPr>
  </w:style>
  <w:style w:type="paragraph" w:customStyle="1" w:styleId="17">
    <w:name w:val="Index"/>
    <w:basedOn w:val="1"/>
    <w:qFormat/>
    <w:uiPriority w:val="0"/>
    <w:pPr>
      <w:suppressLineNumbers/>
    </w:pPr>
    <w:rPr>
      <w:rFonts w:cs="Lohit Devanagari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</Words>
  <Characters>159</Characters>
  <Paragraphs>1</Paragraphs>
  <TotalTime>23</TotalTime>
  <ScaleCrop>false</ScaleCrop>
  <LinksUpToDate>false</LinksUpToDate>
  <CharactersWithSpaces>185</CharactersWithSpaces>
  <Application>WPS Office_11.8.2.12011_F1E327BC-269C-435d-A152-05C5408002CA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2022-10-06T01:49:00Z</dcterms:created>
  <dc:creator>曾 三</dc:creator>
  <cp:lastModifiedBy>wps</cp:lastModifiedBy>
  <dcterms:modified xsi:type="dcterms:W3CDTF">2024-07-22T04:05:00Z</dcterms:modified>
  <cp:revision>53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KSOProductBuildVer">
    <vt:lpwstr>2052-11.8.2.12011</vt:lpwstr>
  </property>
  <property fmtid="{D5CDD505-2E9C-101B-9397-08002B2CF9AE}" pid="9" name="ICV">
    <vt:lpwstr>B767D89D9530495B9A707B663A7256AB</vt:lpwstr>
  </property>
</Properties>
</file>