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提请减刑建议书</w:t>
      </w:r>
    </w:p>
    <w:p>
      <w:pPr>
        <w:jc w:val="right"/>
        <w:rPr>
          <w:rFonts w:ascii="楷体" w:hAnsi="楷体" w:eastAsia="楷体"/>
          <w:sz w:val="32"/>
          <w:szCs w:val="32"/>
        </w:rPr>
      </w:pPr>
      <w:r>
        <w:rPr>
          <w:rFonts w:ascii="楷体" w:hAnsi="楷体" w:eastAsia="楷体"/>
          <w:sz w:val="32"/>
          <w:szCs w:val="32"/>
        </w:rPr>
        <w:t>(2024)桐监减字第28号</w:t>
      </w:r>
    </w:p>
    <w:p>
      <w:pPr>
        <w:snapToGrid w:val="0"/>
        <w:spacing w:line="480" w:lineRule="exact"/>
        <w:ind w:firstLine="640"/>
        <w:rPr>
          <w:rFonts w:ascii="仿宋" w:hAnsi="仿宋" w:eastAsia="仿宋"/>
          <w:sz w:val="32"/>
          <w:szCs w:val="32"/>
        </w:rPr>
      </w:pPr>
      <w:r>
        <w:rPr>
          <w:rFonts w:ascii="仿宋" w:hAnsi="仿宋" w:eastAsia="仿宋"/>
          <w:sz w:val="32"/>
          <w:szCs w:val="32"/>
        </w:rPr>
        <w:t>罪犯陈小龙，男，1977年8月12日生，汉族，小学文化，贵州省大方县人。现在贵州省桐州监狱服刑。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2000年6月5日，该犯因犯抢劫罪被福建省福州市仓山区人民法院判处有期徒刑三年六个月，于2003年2月11日刑满释放。2005年11月16日，贵州省贵阳市中级人民法院作出（2005）筑刑一初字第221号刑事判决，认定陈小龙犯故意杀人罪，判处死刑，缓期二年执行，剥夺政治权利终身。2005年12月12日，贵州省高级人民法院作出(2005)黔高刑一复字第74号刑事裁定，核准贵州省贵阳市中级人民法院（2005）筑刑一初字第221号以故意杀人罪判处被告人陈小龙死刑，缓期二年执行，剥夺政治权利终身的刑事判决。判决发生法律效力后交付执行。</w:t>
      </w:r>
    </w:p>
    <w:p>
      <w:pPr>
        <w:snapToGrid w:val="0"/>
        <w:spacing w:line="480" w:lineRule="exact"/>
        <w:ind w:firstLine="640"/>
        <w:rPr>
          <w:rFonts w:ascii="仿宋" w:hAnsi="仿宋" w:eastAsia="仿宋"/>
          <w:sz w:val="32"/>
          <w:szCs w:val="32"/>
        </w:rPr>
      </w:pPr>
      <w:r>
        <w:rPr>
          <w:rFonts w:ascii="仿宋" w:hAnsi="仿宋" w:eastAsia="仿宋"/>
          <w:sz w:val="32"/>
          <w:szCs w:val="32"/>
        </w:rPr>
        <w:t>判决发生法律效力后2006年1月11日交付执行，2006年3月21日从贵州省贵阳监狱调入贵州省桐州监狱服刑。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服刑期间执行刑期变动情况：2008年6月6日，贵州省高级人民法院作出（2008）黔刑执字第457号刑事裁定，对罪犯陈小龙减为无期徒刑，剥夺政治权利终身不变；2010年11月1日，贵州省高级人民法院作出（2010）黔刑执字第807号刑事裁定，对罪犯陈小龙减为有期徒刑十九年零九个月（刑期自2010年11月1日起至2030年7月31日止），剥夺政治权利改为八年。2013年4月16日，贵州省黔南布依族苗族自治州中级人民法院作出（2013）黔南刑执字第2004号刑事裁定，对罪犯陈小龙减去有期徒刑一年零三个月，剥夺政治权利八年不变；2014年12月23日，贵州省黔南布依族苗族自治州中级人民法院作出（2014）黔南刑执字第4052号刑事裁定，对罪犯陈小龙减去有期徒刑一年零六个月，剥夺政治权利八年不变；2016年12月19日，贵州省黔南布依族苗族自治州中级人民法院作出（2016）黔27刑更3172号刑事裁定，对罪犯陈小龙减去有期徒刑一年零六个月，剥夺政治权利八年不变；2019年6月13日，贵州省黔南布依族苗族自治州中级人民法院作出（2019）黔27刑更1309号刑事裁定，对罪犯陈小龙减去有期徒刑六个月，剥夺政治权利八年不变。2022年6月17日，贵州省黔南布依族苗族自治州中级人民法院作出(2022）黔27刑更870号刑事裁定，对罪犯陈小龙减去有期徒刑六个月，剥夺政治权利八年不变。刑期2010年11月1日至2025年4月30日。</w:t>
      </w:r>
    </w:p>
    <w:p>
      <w:pPr>
        <w:snapToGrid w:val="0"/>
        <w:spacing w:line="480" w:lineRule="exact"/>
        <w:ind w:firstLine="640"/>
        <w:rPr>
          <w:rFonts w:ascii="仿宋" w:hAnsi="仿宋" w:eastAsia="仿宋"/>
          <w:sz w:val="32"/>
          <w:szCs w:val="32"/>
        </w:rPr>
      </w:pPr>
      <w:r>
        <w:rPr>
          <w:rFonts w:ascii="仿宋" w:hAnsi="仿宋" w:eastAsia="仿宋"/>
          <w:sz w:val="32"/>
          <w:szCs w:val="32"/>
        </w:rPr>
        <w:t>该犯自上次裁定减刑以来，确有悔改表现，具体事实如下：</w:t>
      </w:r>
    </w:p>
    <w:p>
      <w:pPr>
        <w:snapToGrid w:val="0"/>
        <w:spacing w:line="480" w:lineRule="exact"/>
        <w:ind w:firstLine="640"/>
        <w:rPr>
          <w:rFonts w:ascii="仿宋" w:hAnsi="仿宋" w:eastAsia="仿宋"/>
          <w:sz w:val="32"/>
          <w:szCs w:val="32"/>
        </w:rPr>
      </w:pPr>
      <w:r>
        <w:rPr>
          <w:rFonts w:ascii="仿宋" w:hAnsi="仿宋" w:eastAsia="仿宋"/>
          <w:sz w:val="32"/>
          <w:szCs w:val="32"/>
        </w:rPr>
        <w:t>一、认罪悔罪方面：罪犯陈小龙自上次减刑以来，能服从法院判决，认罪悔罪。</w:t>
      </w:r>
    </w:p>
    <w:p>
      <w:pPr>
        <w:snapToGrid w:val="0"/>
        <w:spacing w:line="480" w:lineRule="exact"/>
        <w:ind w:firstLine="640"/>
        <w:rPr>
          <w:rFonts w:ascii="仿宋" w:hAnsi="仿宋" w:eastAsia="仿宋"/>
          <w:sz w:val="32"/>
          <w:szCs w:val="32"/>
        </w:rPr>
      </w:pPr>
      <w:r>
        <w:rPr>
          <w:rFonts w:ascii="仿宋" w:hAnsi="仿宋" w:eastAsia="仿宋"/>
          <w:sz w:val="32"/>
          <w:szCs w:val="32"/>
        </w:rPr>
        <w:t>二、遵守法律法规及监规方面：罪犯陈小龙自上次减刑以来，认真遵守法律法规及监规纪律，服从管教，听从安排。</w:t>
      </w:r>
    </w:p>
    <w:p>
      <w:pPr>
        <w:snapToGrid w:val="0"/>
        <w:spacing w:line="480" w:lineRule="exact"/>
        <w:ind w:firstLine="640"/>
        <w:rPr>
          <w:rFonts w:ascii="仿宋" w:hAnsi="仿宋" w:eastAsia="仿宋"/>
          <w:sz w:val="32"/>
          <w:szCs w:val="32"/>
        </w:rPr>
      </w:pPr>
      <w:r>
        <w:rPr>
          <w:rFonts w:ascii="仿宋" w:hAnsi="仿宋" w:eastAsia="仿宋"/>
          <w:sz w:val="32"/>
          <w:szCs w:val="32"/>
        </w:rPr>
        <w:t>三、教育改造方面：能接受教育改造，积极参加思想、文化、职业技术教育，“三课”学习成绩合格。</w:t>
      </w:r>
    </w:p>
    <w:p>
      <w:pPr>
        <w:snapToGrid w:val="0"/>
        <w:spacing w:line="480" w:lineRule="exact"/>
        <w:ind w:firstLine="640"/>
        <w:rPr>
          <w:rFonts w:ascii="仿宋" w:hAnsi="仿宋" w:eastAsia="仿宋"/>
          <w:sz w:val="32"/>
          <w:szCs w:val="32"/>
        </w:rPr>
      </w:pPr>
      <w:r>
        <w:rPr>
          <w:rFonts w:ascii="仿宋" w:hAnsi="仿宋" w:eastAsia="仿宋"/>
          <w:sz w:val="32"/>
          <w:szCs w:val="32"/>
        </w:rPr>
        <w:t>四、劳动改造方面：能积极参加劳动，努力学习劳动技能，积极肯干，主要从事生产辅工、生活卫生等工种，按时完成劳动任务，表现较好。</w:t>
      </w:r>
    </w:p>
    <w:p>
      <w:pPr>
        <w:snapToGrid w:val="0"/>
        <w:spacing w:line="480" w:lineRule="exact"/>
        <w:ind w:firstLine="640"/>
        <w:rPr>
          <w:rFonts w:ascii="仿宋" w:hAnsi="仿宋" w:eastAsia="仿宋"/>
          <w:sz w:val="32"/>
          <w:szCs w:val="32"/>
        </w:rPr>
      </w:pPr>
      <w:r>
        <w:rPr>
          <w:rFonts w:ascii="仿宋" w:hAnsi="仿宋" w:eastAsia="仿宋"/>
          <w:sz w:val="32"/>
          <w:szCs w:val="32"/>
        </w:rPr>
        <w:t>五、履行财产性判项方面：无。</w:t>
      </w:r>
    </w:p>
    <w:p>
      <w:pPr>
        <w:snapToGrid w:val="0"/>
        <w:spacing w:line="480" w:lineRule="exact"/>
        <w:ind w:firstLine="640"/>
        <w:rPr>
          <w:rFonts w:ascii="仿宋" w:hAnsi="仿宋" w:eastAsia="仿宋"/>
          <w:sz w:val="32"/>
          <w:szCs w:val="32"/>
        </w:rPr>
      </w:pPr>
      <w:r>
        <w:rPr>
          <w:rFonts w:ascii="仿宋" w:hAnsi="仿宋" w:eastAsia="仿宋"/>
          <w:sz w:val="32"/>
          <w:szCs w:val="32"/>
        </w:rPr>
        <w:t>六、考核奖励情况：2021年10月至2022年3月获1个表扬；2022年4月至2022年9月获1个表扬；2022年10月至2023年3月获1个表扬；2023年4月至2023年9月获1个表扬；2023年10月至2024年3月获1个表扬；获得共5个表扬。</w:t>
      </w:r>
    </w:p>
    <w:p>
      <w:pPr>
        <w:snapToGrid w:val="0"/>
        <w:spacing w:line="480" w:lineRule="exact"/>
        <w:ind w:firstLine="640"/>
        <w:rPr>
          <w:rFonts w:ascii="仿宋" w:hAnsi="仿宋" w:eastAsia="仿宋"/>
          <w:sz w:val="32"/>
          <w:szCs w:val="32"/>
        </w:rPr>
      </w:pPr>
      <w:r>
        <w:rPr>
          <w:rFonts w:ascii="仿宋" w:hAnsi="仿宋" w:eastAsia="仿宋"/>
          <w:sz w:val="32"/>
          <w:szCs w:val="32"/>
        </w:rPr>
        <w:t>扣分及违规情况：无。</w:t>
      </w:r>
    </w:p>
    <w:p>
      <w:pPr>
        <w:snapToGrid w:val="0"/>
        <w:spacing w:line="480" w:lineRule="exact"/>
        <w:ind w:firstLine="640"/>
        <w:rPr>
          <w:rFonts w:ascii="仿宋" w:hAnsi="仿宋" w:eastAsia="仿宋"/>
          <w:sz w:val="32"/>
          <w:szCs w:val="32"/>
        </w:rPr>
      </w:pPr>
      <w:r>
        <w:rPr>
          <w:rFonts w:ascii="仿宋" w:hAnsi="仿宋" w:eastAsia="仿宋"/>
          <w:sz w:val="32"/>
          <w:szCs w:val="32"/>
        </w:rPr>
        <w:t>从严情形：累犯；故意杀人犯；犯罪情节及危害性严重。</w:t>
      </w:r>
    </w:p>
    <w:p>
      <w:pPr>
        <w:snapToGrid w:val="0"/>
        <w:spacing w:line="480" w:lineRule="exact"/>
        <w:ind w:firstLine="640"/>
        <w:rPr>
          <w:rFonts w:ascii="仿宋" w:hAnsi="仿宋" w:eastAsia="仿宋"/>
          <w:sz w:val="32"/>
          <w:szCs w:val="32"/>
        </w:rPr>
      </w:pPr>
      <w:r>
        <w:rPr>
          <w:rFonts w:ascii="仿宋" w:hAnsi="仿宋" w:eastAsia="仿宋"/>
          <w:sz w:val="32"/>
          <w:szCs w:val="32"/>
        </w:rPr>
        <w:t>检察机关审查意见：</w:t>
      </w:r>
      <w:r>
        <w:rPr>
          <w:rFonts w:ascii="仿宋" w:hAnsi="仿宋" w:eastAsia="仿宋"/>
          <w:sz w:val="32"/>
          <w:u w:val="none" w:color="00000A"/>
        </w:rPr>
        <w:t>经审查，我院认为：罪犯陈小龙符合提请减刑条件。未发现提请减刑建议不当，同意将案件交监狱长办公会审核。</w:t>
      </w:r>
    </w:p>
    <w:p>
      <w:pPr>
        <w:snapToGrid w:val="0"/>
        <w:spacing w:line="480" w:lineRule="exact"/>
        <w:ind w:firstLine="640"/>
        <w:rPr>
          <w:rFonts w:ascii="仿宋" w:hAnsi="仿宋" w:eastAsia="仿宋"/>
          <w:sz w:val="32"/>
          <w:szCs w:val="32"/>
        </w:rPr>
      </w:pPr>
      <w:r>
        <w:rPr>
          <w:rFonts w:ascii="仿宋" w:hAnsi="仿宋" w:eastAsia="仿宋"/>
          <w:sz w:val="32"/>
          <w:szCs w:val="32"/>
        </w:rPr>
        <w:t>综上所述，罪犯陈小龙自上次裁定减刑以来，能认真遵守监规，接受教育改造，确有悔改表现。</w:t>
      </w:r>
    </w:p>
    <w:p>
      <w:pPr>
        <w:snapToGrid w:val="0"/>
        <w:spacing w:line="480" w:lineRule="exact"/>
        <w:ind w:firstLine="640"/>
        <w:rPr>
          <w:rFonts w:ascii="仿宋" w:hAnsi="仿宋" w:eastAsia="仿宋"/>
          <w:sz w:val="32"/>
          <w:szCs w:val="32"/>
        </w:rPr>
      </w:pPr>
      <w:r>
        <w:rPr>
          <w:rFonts w:ascii="仿宋" w:hAnsi="仿宋" w:eastAsia="仿宋"/>
          <w:sz w:val="32"/>
          <w:szCs w:val="32"/>
        </w:rPr>
        <w:t>为此，根据《中华人民共和国刑法》第七十八条第一款，第七十九条、《中华人民共和国刑事诉讼法》第二百七十三条、《中华人民共和国监狱法》第二十九条之规定，经征求检察机关意见，建议对罪犯陈小龙提请减去有期徒刑五个月，剥夺政治权利八年不变。特提请裁定。</w:t>
      </w:r>
    </w:p>
    <w:p>
      <w:pPr>
        <w:snapToGrid w:val="0"/>
        <w:spacing w:line="480" w:lineRule="exact"/>
        <w:ind w:firstLine="640"/>
        <w:rPr>
          <w:rFonts w:ascii="仿宋" w:hAnsi="仿宋" w:eastAsia="仿宋"/>
          <w:sz w:val="32"/>
          <w:szCs w:val="32"/>
        </w:rPr>
      </w:pPr>
      <w:r>
        <w:rPr>
          <w:rFonts w:ascii="仿宋" w:hAnsi="仿宋" w:eastAsia="仿宋"/>
          <w:sz w:val="32"/>
          <w:szCs w:val="32"/>
        </w:rPr>
        <w:t>此致</w:t>
      </w:r>
    </w:p>
    <w:p>
      <w:pPr>
        <w:snapToGrid w:val="0"/>
        <w:spacing w:line="480" w:lineRule="exact"/>
        <w:rPr>
          <w:rFonts w:ascii="仿宋" w:hAnsi="仿宋" w:eastAsia="仿宋"/>
          <w:sz w:val="32"/>
          <w:szCs w:val="32"/>
        </w:rPr>
      </w:pPr>
      <w:r>
        <w:rPr>
          <w:rFonts w:ascii="仿宋" w:hAnsi="仿宋" w:eastAsia="仿宋"/>
          <w:sz w:val="32"/>
          <w:szCs w:val="32"/>
        </w:rPr>
        <w:t>黔南布依族苗族自治州中级人民法院</w:t>
      </w:r>
    </w:p>
    <w:p>
      <w:pPr>
        <w:snapToGrid w:val="0"/>
        <w:spacing w:line="480" w:lineRule="exact"/>
        <w:rPr>
          <w:rFonts w:ascii="仿宋" w:hAnsi="仿宋" w:eastAsia="仿宋"/>
          <w:sz w:val="32"/>
          <w:szCs w:val="32"/>
        </w:rPr>
      </w:pPr>
      <w:bookmarkStart w:id="0" w:name="_GoBack"/>
      <w:bookmarkEnd w:id="0"/>
    </w:p>
    <w:p>
      <w:pPr>
        <w:jc w:val="center"/>
        <w:rPr>
          <w:rFonts w:ascii="仿宋_GB2312" w:hAnsi="仿宋_GB2312" w:eastAsia="仿宋_GB2312"/>
          <w:sz w:val="32"/>
          <w:szCs w:val="32"/>
        </w:rPr>
      </w:pPr>
      <w:r>
        <w:rPr>
          <w:rFonts w:ascii="仿宋_GB2312" w:hAnsi="仿宋_GB2312" w:eastAsia="仿宋_GB2312"/>
          <w:sz w:val="32"/>
          <w:szCs w:val="32"/>
        </w:rPr>
        <w:t xml:space="preserve">                               （公章）</w:t>
      </w:r>
    </w:p>
    <w:p>
      <w:pPr>
        <w:snapToGrid w:val="0"/>
        <w:spacing w:line="480" w:lineRule="exact"/>
        <w:ind w:firstLine="5760"/>
      </w:pPr>
      <w:r>
        <w:rPr>
          <w:rFonts w:ascii="仿宋_GB2312" w:hAnsi="仿宋_GB2312" w:eastAsia="仿宋_GB2312"/>
          <w:sz w:val="32"/>
          <w:szCs w:val="32"/>
        </w:rPr>
        <w:t>2024年10月9日</w:t>
      </w:r>
    </w:p>
    <w:sectPr>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0000000000000000000"/>
    <w:charset w:val="01"/>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Liberation Sans">
    <w:altName w:val="Arial"/>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Lohit Devanagari">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A9F46A6"/>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both"/>
    </w:pPr>
    <w:rPr>
      <w:rFonts w:asciiTheme="minorHAnsi" w:hAnsiTheme="minorHAnsi" w:eastAsiaTheme="minorEastAsia" w:cstheme="minorBidi"/>
      <w:color w:val="auto"/>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Lohit Devanagari"/>
      <w:i/>
      <w:iCs/>
      <w:sz w:val="24"/>
      <w:szCs w:val="24"/>
    </w:rPr>
  </w:style>
  <w:style w:type="paragraph" w:styleId="3">
    <w:name w:val="Salutation"/>
    <w:basedOn w:val="1"/>
    <w:next w:val="1"/>
    <w:unhideWhenUsed/>
    <w:uiPriority w:val="99"/>
    <w:rPr>
      <w:rFonts w:ascii="仿宋" w:hAnsi="仿宋" w:eastAsia="仿宋"/>
      <w:sz w:val="30"/>
      <w:szCs w:val="30"/>
    </w:rPr>
  </w:style>
  <w:style w:type="paragraph" w:styleId="4">
    <w:name w:val="Closing"/>
    <w:basedOn w:val="1"/>
    <w:unhideWhenUsed/>
    <w:qFormat/>
    <w:uiPriority w:val="99"/>
    <w:pPr>
      <w:ind w:left="100" w:firstLine="0"/>
    </w:pPr>
    <w:rPr>
      <w:rFonts w:ascii="仿宋" w:hAnsi="仿宋" w:eastAsia="仿宋"/>
      <w:sz w:val="30"/>
      <w:szCs w:val="30"/>
    </w:rPr>
  </w:style>
  <w:style w:type="paragraph" w:styleId="5">
    <w:name w:val="Body Text"/>
    <w:basedOn w:val="1"/>
    <w:uiPriority w:val="0"/>
    <w:pPr>
      <w:spacing w:before="0" w:after="140" w:line="288" w:lineRule="auto"/>
    </w:pPr>
  </w:style>
  <w:style w:type="paragraph" w:styleId="6">
    <w:name w:val="footer"/>
    <w:basedOn w:val="1"/>
    <w:unhideWhenUsed/>
    <w:uiPriority w:val="99"/>
    <w:pPr>
      <w:tabs>
        <w:tab w:val="center" w:pos="4153"/>
        <w:tab w:val="right" w:pos="8306"/>
      </w:tabs>
      <w:snapToGrid w:val="0"/>
      <w:jc w:val="left"/>
    </w:pPr>
    <w:rPr>
      <w:sz w:val="18"/>
      <w:szCs w:val="18"/>
    </w:rPr>
  </w:style>
  <w:style w:type="paragraph" w:styleId="7">
    <w:name w:val="header"/>
    <w:basedOn w:val="1"/>
    <w:unhideWhenUsed/>
    <w:uiPriority w:val="99"/>
    <w:pPr>
      <w:pBdr>
        <w:bottom w:val="single" w:color="00000A" w:sz="6" w:space="1"/>
      </w:pBdr>
      <w:tabs>
        <w:tab w:val="center" w:pos="4153"/>
        <w:tab w:val="right" w:pos="8306"/>
      </w:tabs>
      <w:snapToGrid w:val="0"/>
      <w:jc w:val="center"/>
    </w:pPr>
    <w:rPr>
      <w:sz w:val="18"/>
      <w:szCs w:val="18"/>
    </w:rPr>
  </w:style>
  <w:style w:type="paragraph" w:styleId="8">
    <w:name w:val="List"/>
    <w:basedOn w:val="5"/>
    <w:uiPriority w:val="0"/>
    <w:rPr>
      <w:rFonts w:cs="Lohit Devanagari"/>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qFormat/>
    <w:uiPriority w:val="99"/>
    <w:rPr>
      <w:sz w:val="18"/>
      <w:szCs w:val="18"/>
    </w:rPr>
  </w:style>
  <w:style w:type="character" w:customStyle="1" w:styleId="13">
    <w:name w:val="页脚 字符"/>
    <w:basedOn w:val="11"/>
    <w:qFormat/>
    <w:uiPriority w:val="99"/>
    <w:rPr>
      <w:sz w:val="18"/>
      <w:szCs w:val="18"/>
    </w:rPr>
  </w:style>
  <w:style w:type="character" w:customStyle="1" w:styleId="14">
    <w:name w:val="称呼 字符"/>
    <w:basedOn w:val="11"/>
    <w:qFormat/>
    <w:uiPriority w:val="99"/>
    <w:rPr>
      <w:rFonts w:ascii="仿宋" w:hAnsi="仿宋" w:eastAsia="仿宋"/>
      <w:sz w:val="30"/>
      <w:szCs w:val="30"/>
    </w:rPr>
  </w:style>
  <w:style w:type="character" w:customStyle="1" w:styleId="15">
    <w:name w:val="结束语 字符"/>
    <w:basedOn w:val="11"/>
    <w:qFormat/>
    <w:uiPriority w:val="99"/>
    <w:rPr>
      <w:rFonts w:ascii="仿宋" w:hAnsi="仿宋" w:eastAsia="仿宋"/>
      <w:sz w:val="30"/>
      <w:szCs w:val="30"/>
    </w:rPr>
  </w:style>
  <w:style w:type="paragraph" w:customStyle="1" w:styleId="16">
    <w:name w:val="Heading"/>
    <w:basedOn w:val="1"/>
    <w:next w:val="5"/>
    <w:qFormat/>
    <w:uiPriority w:val="0"/>
    <w:pPr>
      <w:keepNext/>
      <w:spacing w:before="240" w:after="120"/>
    </w:pPr>
    <w:rPr>
      <w:rFonts w:ascii="Liberation Sans" w:hAnsi="Liberation Sans" w:eastAsia="微软雅黑" w:cs="Lohit Devanagari"/>
      <w:sz w:val="28"/>
      <w:szCs w:val="28"/>
    </w:rPr>
  </w:style>
  <w:style w:type="paragraph" w:customStyle="1" w:styleId="17">
    <w:name w:val="Index"/>
    <w:basedOn w:val="1"/>
    <w:qFormat/>
    <w:uiPriority w:val="0"/>
    <w:pPr>
      <w:suppressLineNumbers/>
    </w:pPr>
    <w:rPr>
      <w:rFonts w:cs="Lohit Devanaga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190</Characters>
  <Paragraphs>1</Paragraphs>
  <TotalTime>92</TotalTime>
  <ScaleCrop>false</ScaleCrop>
  <LinksUpToDate>false</LinksUpToDate>
  <CharactersWithSpaces>222</CharactersWithSpaces>
  <Application>WPS Office_11.8.2.12011_F1E327BC-269C-435d-A152-05C5408002CA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2022-10-06T01:49:00Z</dcterms:created>
  <dc:creator>曾 三</dc:creator>
  <cp:lastModifiedBy>wps</cp:lastModifiedBy>
  <dcterms:modified xsi:type="dcterms:W3CDTF">2024-10-16T08:17:34Z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2052-11.8.2.12011</vt:lpwstr>
  </property>
  <property fmtid="{D5CDD505-2E9C-101B-9397-08002B2CF9AE}" pid="9" name="ICV">
    <vt:lpwstr>555833EC5D9542E882030A1CC7F8EE1E</vt:lpwstr>
  </property>
</Properties>
</file>