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jc w:val="center"/>
        <w:rPr>
          <w:rFonts w:ascii="方正小标宋简体" w:hAnsi="方正小标宋简体" w:eastAsia="方正小标宋简体"/>
          <w:sz w:val="44"/>
          <w:szCs w:val="44"/>
        </w:rPr>
      </w:pPr>
      <w:r>
        <w:rPr>
          <w:rFonts w:ascii="方正小标宋简体" w:hAnsi="方正小标宋简体" w:eastAsia="方正小标宋简体"/>
          <w:sz w:val="44"/>
          <w:szCs w:val="44"/>
        </w:rPr>
        <w:t>提请减刑建议书</w:t>
      </w:r>
    </w:p>
    <w:p>
      <w:pPr>
        <w:jc w:val="right"/>
        <w:rPr>
          <w:rFonts w:ascii="楷体" w:hAnsi="楷体" w:eastAsia="楷体"/>
          <w:sz w:val="32"/>
          <w:szCs w:val="32"/>
        </w:rPr>
      </w:pPr>
      <w:r>
        <w:rPr>
          <w:rFonts w:ascii="楷体" w:hAnsi="楷体" w:eastAsia="楷体"/>
          <w:sz w:val="32"/>
          <w:szCs w:val="32"/>
        </w:rPr>
        <w:t>(2024)桐监减字第22号</w:t>
      </w:r>
    </w:p>
    <w:p>
      <w:pPr>
        <w:snapToGrid w:val="0"/>
        <w:spacing w:line="48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罪犯刘晓东，男，2000年8月17日生，汉族，初中文化，贵州省毕节市七星关区人。现在贵州省桐州监狱服刑。</w:t>
      </w:r>
    </w:p>
    <w:p>
      <w:pPr>
        <w:snapToGrid w:val="0"/>
        <w:spacing w:line="48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2022年12月21日，贵州省毕节市七星关区人民法院作出（2022）黔0502刑初718号刑事判决，认定刘晓东犯掩饰、隐瞒犯罪所得罪，判处有期徒刑二年六个月，并处罚金人民币10000.00元；追缴违法所得人民币30000.00元。刑期自2022年5月20日起至2024年11月19日止。判决发生法律效力后交付执行。</w:t>
      </w:r>
    </w:p>
    <w:p>
      <w:pPr>
        <w:snapToGrid w:val="0"/>
        <w:spacing w:line="48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判决发生法律效力后2023年2月21日交付执行，2023年3月28日从贵州省福泉监狱调入贵州省桐州监狱服刑。</w:t>
      </w:r>
    </w:p>
    <w:p>
      <w:pPr>
        <w:snapToGrid w:val="0"/>
        <w:spacing w:line="48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服刑期间执行刑期变动情况：无。刑期2022年5月20日至2024年11月19日。</w:t>
      </w:r>
    </w:p>
    <w:p>
      <w:pPr>
        <w:snapToGrid w:val="0"/>
        <w:spacing w:line="48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该犯在服刑改造期间，确有悔改表现，具体事实如下：</w:t>
      </w:r>
    </w:p>
    <w:p>
      <w:pPr>
        <w:snapToGrid w:val="0"/>
        <w:spacing w:line="48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一、认罪悔罪方面：罪犯刘晓东在服刑期间，能服从法院判决，认罪悔罪。</w:t>
      </w:r>
    </w:p>
    <w:p>
      <w:pPr>
        <w:snapToGrid w:val="0"/>
        <w:spacing w:line="48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二、遵守法律法规及监规方面：罪犯刘晓东在服刑期间，认真遵守法律法规及监规纪律，服从管教，听从安排。</w:t>
      </w:r>
    </w:p>
    <w:p>
      <w:pPr>
        <w:snapToGrid w:val="0"/>
        <w:spacing w:line="48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三、教育改造方面：能接受教育改造，积极参加思想、文化、职业技术教育，“三课”学习成绩合格。</w:t>
      </w:r>
    </w:p>
    <w:p>
      <w:pPr>
        <w:snapToGrid w:val="0"/>
        <w:spacing w:line="48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四、劳动改造方面：能积极参加劳动，态度端正，主要从事数据线焊锡、生活卫生、值守事务等工种，按时完成劳动任务，表现较好。</w:t>
      </w:r>
    </w:p>
    <w:p>
      <w:pPr>
        <w:snapToGrid w:val="0"/>
        <w:spacing w:line="48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五、履行财产性判项方面：罚金人民币10000元(已部分缴纳1000元)；追缴违法所得人民币30000元(未缴纳)。</w:t>
      </w:r>
    </w:p>
    <w:p>
      <w:pPr>
        <w:snapToGrid w:val="0"/>
        <w:spacing w:line="48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六、考核奖励情况：2023年2月至2023年10月获1个表扬；2023年11月至2024年4月获1个表扬；获得共2个表扬。</w:t>
      </w:r>
    </w:p>
    <w:p>
      <w:pPr>
        <w:snapToGrid w:val="0"/>
        <w:spacing w:line="48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扣分及违规情况：无。</w:t>
      </w:r>
    </w:p>
    <w:p>
      <w:pPr>
        <w:snapToGrid w:val="0"/>
        <w:spacing w:line="48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从严情形：财产性判项未履行完毕。</w:t>
      </w:r>
    </w:p>
    <w:p>
      <w:pPr>
        <w:snapToGrid w:val="0"/>
        <w:spacing w:line="48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检察机关审查意见：</w:t>
      </w:r>
      <w:r>
        <w:rPr>
          <w:rFonts w:ascii="仿宋" w:hAnsi="仿宋" w:eastAsia="仿宋"/>
          <w:sz w:val="32"/>
          <w:u w:val="none" w:color="00000A"/>
        </w:rPr>
        <w:t>经审查，我院认为：罪犯刘晓东符合提请减刑条件。未发现提请减刑建议不当，同意将案件交监狱长办公会审核。</w:t>
      </w:r>
    </w:p>
    <w:p>
      <w:pPr>
        <w:snapToGrid w:val="0"/>
        <w:spacing w:line="48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综上所述，罪犯刘晓东在服刑改造期间，能认真遵守监规，接受教育改造，确有悔改表现。</w:t>
      </w:r>
    </w:p>
    <w:p>
      <w:pPr>
        <w:snapToGrid w:val="0"/>
        <w:spacing w:line="48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为此，根据《中华人民共和国刑法》第七十八条第一款，第七十九条、《中华人民共和国刑事诉讼法》第二百七十三条、《中华人民共和国监狱法》第二十九条之规定，经征求检察机关意见，建议对罪犯刘晓东提请减去有期徒刑的剩余刑期。特提请裁定。</w:t>
      </w:r>
    </w:p>
    <w:p>
      <w:pPr>
        <w:snapToGrid w:val="0"/>
        <w:spacing w:line="48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此致</w:t>
      </w:r>
    </w:p>
    <w:p>
      <w:pPr>
        <w:snapToGrid w:val="0"/>
        <w:spacing w:line="480" w:lineRule="exact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黔南布依族苗族自治州中级人民法院</w:t>
      </w:r>
    </w:p>
    <w:p>
      <w:pPr>
        <w:snapToGrid w:val="0"/>
        <w:spacing w:line="480" w:lineRule="exact"/>
        <w:rPr>
          <w:rFonts w:ascii="仿宋" w:hAnsi="仿宋" w:eastAsia="仿宋"/>
          <w:sz w:val="32"/>
          <w:szCs w:val="32"/>
        </w:rPr>
      </w:pPr>
      <w:bookmarkStart w:id="0" w:name="_GoBack"/>
      <w:bookmarkEnd w:id="0"/>
    </w:p>
    <w:p>
      <w:pPr>
        <w:jc w:val="center"/>
        <w:rPr>
          <w:rFonts w:ascii="仿宋_GB2312" w:hAnsi="仿宋_GB2312" w:eastAsia="仿宋_GB2312"/>
          <w:sz w:val="32"/>
          <w:szCs w:val="32"/>
        </w:rPr>
      </w:pPr>
      <w:r>
        <w:rPr>
          <w:rFonts w:ascii="仿宋_GB2312" w:hAnsi="仿宋_GB2312" w:eastAsia="仿宋_GB2312"/>
          <w:sz w:val="32"/>
          <w:szCs w:val="32"/>
        </w:rPr>
        <w:t xml:space="preserve">                               （公章）</w:t>
      </w:r>
    </w:p>
    <w:p>
      <w:pPr>
        <w:snapToGrid w:val="0"/>
        <w:spacing w:line="480" w:lineRule="exact"/>
        <w:ind w:firstLine="5760"/>
      </w:pPr>
      <w:r>
        <w:rPr>
          <w:rFonts w:ascii="仿宋_GB2312" w:hAnsi="仿宋_GB2312" w:eastAsia="仿宋_GB2312"/>
          <w:sz w:val="32"/>
          <w:szCs w:val="32"/>
        </w:rPr>
        <w:t>2024年10月9日</w:t>
      </w:r>
    </w:p>
    <w:sectPr>
      <w:pgSz w:w="11906" w:h="16838"/>
      <w:pgMar w:top="1440" w:right="1800" w:bottom="1440" w:left="1800" w:header="0" w:footer="0" w:gutter="0"/>
      <w:pgNumType w:fmt="decimal"/>
      <w:cols w:space="720" w:num="1"/>
      <w:formProt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等线">
    <w:altName w:val="微软雅黑"/>
    <w:panose1 w:val="00000000000000000000"/>
    <w:charset w:val="01"/>
    <w:family w:val="roman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Liberation Sans">
    <w:altName w:val="Arial"/>
    <w:panose1 w:val="00000000000000000000"/>
    <w:charset w:val="01"/>
    <w:family w:val="swiss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Lohit Devanagari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panose1 w:val="03000509000000000000"/>
    <w:charset w:val="86"/>
    <w:family w:val="roma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roma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cumentProtection w:enforcement="0"/>
  <w:defaultTabStop w:val="420"/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044A58D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nhideWhenUsed="0" w:uiPriority="0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nhideWhenUsed="0" w:uiPriority="0" w:semiHidden="0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qFormat="1" w:uiPriority="99" w:semiHidden="0" w:name="Closing"/>
    <w:lsdException w:uiPriority="99" w:name="Signature"/>
    <w:lsdException w:qFormat="1" w:uiPriority="1" w:name="Default Paragraph Font"/>
    <w:lsdException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bidi w:val="0"/>
      <w:jc w:val="both"/>
    </w:pPr>
    <w:rPr>
      <w:rFonts w:asciiTheme="minorHAnsi" w:hAnsiTheme="minorHAnsi" w:eastAsiaTheme="minorEastAsia" w:cstheme="minorBidi"/>
      <w:color w:val="auto"/>
      <w:sz w:val="21"/>
      <w:szCs w:val="22"/>
      <w:lang w:val="en-US" w:eastAsia="zh-CN" w:bidi="ar-SA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caption"/>
    <w:basedOn w:val="1"/>
    <w:next w:val="1"/>
    <w:qFormat/>
    <w:uiPriority w:val="0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3">
    <w:name w:val="Salutation"/>
    <w:basedOn w:val="1"/>
    <w:next w:val="1"/>
    <w:unhideWhenUsed/>
    <w:uiPriority w:val="99"/>
    <w:rPr>
      <w:rFonts w:ascii="仿宋" w:hAnsi="仿宋" w:eastAsia="仿宋"/>
      <w:sz w:val="30"/>
      <w:szCs w:val="30"/>
    </w:rPr>
  </w:style>
  <w:style w:type="paragraph" w:styleId="4">
    <w:name w:val="Closing"/>
    <w:basedOn w:val="1"/>
    <w:unhideWhenUsed/>
    <w:qFormat/>
    <w:uiPriority w:val="99"/>
    <w:pPr>
      <w:ind w:left="100" w:firstLine="0"/>
    </w:pPr>
    <w:rPr>
      <w:rFonts w:ascii="仿宋" w:hAnsi="仿宋" w:eastAsia="仿宋"/>
      <w:sz w:val="30"/>
      <w:szCs w:val="30"/>
    </w:rPr>
  </w:style>
  <w:style w:type="paragraph" w:styleId="5">
    <w:name w:val="Body Text"/>
    <w:basedOn w:val="1"/>
    <w:uiPriority w:val="0"/>
    <w:pPr>
      <w:spacing w:before="0" w:after="140" w:line="288" w:lineRule="auto"/>
    </w:pPr>
  </w:style>
  <w:style w:type="paragraph" w:styleId="6">
    <w:name w:val="footer"/>
    <w:basedOn w:val="1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unhideWhenUsed/>
    <w:uiPriority w:val="99"/>
    <w:pPr>
      <w:pBdr>
        <w:bottom w:val="single" w:color="00000A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List"/>
    <w:basedOn w:val="5"/>
    <w:uiPriority w:val="0"/>
    <w:rPr>
      <w:rFonts w:cs="Lohit Devanagari"/>
    </w:rPr>
  </w:style>
  <w:style w:type="table" w:styleId="10">
    <w:name w:val="Table Grid"/>
    <w:basedOn w:val="9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2">
    <w:name w:val="页眉 字符"/>
    <w:basedOn w:val="11"/>
    <w:qFormat/>
    <w:uiPriority w:val="99"/>
    <w:rPr>
      <w:sz w:val="18"/>
      <w:szCs w:val="18"/>
    </w:rPr>
  </w:style>
  <w:style w:type="character" w:customStyle="1" w:styleId="13">
    <w:name w:val="页脚 字符"/>
    <w:basedOn w:val="11"/>
    <w:qFormat/>
    <w:uiPriority w:val="99"/>
    <w:rPr>
      <w:sz w:val="18"/>
      <w:szCs w:val="18"/>
    </w:rPr>
  </w:style>
  <w:style w:type="character" w:customStyle="1" w:styleId="14">
    <w:name w:val="称呼 字符"/>
    <w:basedOn w:val="11"/>
    <w:qFormat/>
    <w:uiPriority w:val="99"/>
    <w:rPr>
      <w:rFonts w:ascii="仿宋" w:hAnsi="仿宋" w:eastAsia="仿宋"/>
      <w:sz w:val="30"/>
      <w:szCs w:val="30"/>
    </w:rPr>
  </w:style>
  <w:style w:type="character" w:customStyle="1" w:styleId="15">
    <w:name w:val="结束语 字符"/>
    <w:basedOn w:val="11"/>
    <w:qFormat/>
    <w:uiPriority w:val="99"/>
    <w:rPr>
      <w:rFonts w:ascii="仿宋" w:hAnsi="仿宋" w:eastAsia="仿宋"/>
      <w:sz w:val="30"/>
      <w:szCs w:val="30"/>
    </w:rPr>
  </w:style>
  <w:style w:type="paragraph" w:customStyle="1" w:styleId="16">
    <w:name w:val="Heading"/>
    <w:basedOn w:val="1"/>
    <w:next w:val="5"/>
    <w:qFormat/>
    <w:uiPriority w:val="0"/>
    <w:pPr>
      <w:keepNext/>
      <w:spacing w:before="240" w:after="120"/>
    </w:pPr>
    <w:rPr>
      <w:rFonts w:ascii="Liberation Sans" w:hAnsi="Liberation Sans" w:eastAsia="微软雅黑" w:cs="Lohit Devanagari"/>
      <w:sz w:val="28"/>
      <w:szCs w:val="28"/>
    </w:rPr>
  </w:style>
  <w:style w:type="paragraph" w:customStyle="1" w:styleId="17">
    <w:name w:val="Index"/>
    <w:basedOn w:val="1"/>
    <w:qFormat/>
    <w:uiPriority w:val="0"/>
    <w:pPr>
      <w:suppressLineNumbers/>
    </w:pPr>
    <w:rPr>
      <w:rFonts w:cs="Lohit Devanagari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33</Words>
  <Characters>190</Characters>
  <Paragraphs>1</Paragraphs>
  <TotalTime>92</TotalTime>
  <ScaleCrop>false</ScaleCrop>
  <LinksUpToDate>false</LinksUpToDate>
  <CharactersWithSpaces>222</CharactersWithSpaces>
  <Application>WPS Office_11.8.2.12011_F1E327BC-269C-435d-A152-05C5408002CA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2022-10-06T01:49:00Z</dcterms:created>
  <dc:creator>曾 三</dc:creator>
  <cp:lastModifiedBy>wps</cp:lastModifiedBy>
  <dcterms:modified xsi:type="dcterms:W3CDTF">2024-10-16T08:02:43Z</dcterms:modified>
  <cp:revision>90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KSOProductBuildVer">
    <vt:lpwstr>2052-11.8.2.12011</vt:lpwstr>
  </property>
  <property fmtid="{D5CDD505-2E9C-101B-9397-08002B2CF9AE}" pid="9" name="ICV">
    <vt:lpwstr>333F8371E25F4C0182648DC33FEE774F</vt:lpwstr>
  </property>
</Properties>
</file>