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方正小标宋简体" w:hAnsi="方正小标宋简体" w:eastAsia="方正小标宋简体"/>
          <w:sz w:val="44"/>
          <w:szCs w:val="44"/>
        </w:rPr>
      </w:pPr>
      <w:r>
        <w:rPr>
          <w:rFonts w:ascii="方正小标宋简体" w:hAnsi="方正小标宋简体" w:eastAsia="方正小标宋简体"/>
          <w:sz w:val="44"/>
          <w:szCs w:val="44"/>
        </w:rPr>
        <w:t>提请减刑建议书</w:t>
      </w:r>
    </w:p>
    <w:p>
      <w:pPr>
        <w:jc w:val="right"/>
        <w:rPr>
          <w:rFonts w:ascii="楷体" w:hAnsi="楷体" w:eastAsia="楷体"/>
          <w:sz w:val="32"/>
          <w:szCs w:val="32"/>
        </w:rPr>
      </w:pPr>
      <w:r>
        <w:rPr>
          <w:rFonts w:ascii="楷体" w:hAnsi="楷体" w:eastAsia="楷体"/>
          <w:sz w:val="32"/>
          <w:szCs w:val="32"/>
        </w:rPr>
        <w:t>(2024)桐监减字第24号</w:t>
      </w:r>
    </w:p>
    <w:p>
      <w:pPr>
        <w:snapToGrid w:val="0"/>
        <w:spacing w:line="480" w:lineRule="exact"/>
        <w:ind w:firstLine="640"/>
        <w:rPr>
          <w:rFonts w:ascii="仿宋" w:hAnsi="仿宋" w:eastAsia="仿宋"/>
          <w:sz w:val="32"/>
          <w:szCs w:val="32"/>
        </w:rPr>
      </w:pPr>
      <w:r>
        <w:rPr>
          <w:rFonts w:ascii="仿宋" w:hAnsi="仿宋" w:eastAsia="仿宋"/>
          <w:sz w:val="32"/>
          <w:szCs w:val="32"/>
        </w:rPr>
        <w:t>罪犯杨海，男，1976年11月21日生，苗族，小学文化，贵州省丹寨县人。现在贵州省桐州监狱服刑。</w:t>
      </w:r>
    </w:p>
    <w:p>
      <w:pPr>
        <w:snapToGrid w:val="0"/>
        <w:spacing w:line="480" w:lineRule="exact"/>
        <w:ind w:firstLine="640"/>
        <w:rPr>
          <w:rFonts w:ascii="仿宋" w:hAnsi="仿宋" w:eastAsia="仿宋"/>
          <w:sz w:val="32"/>
          <w:szCs w:val="32"/>
        </w:rPr>
      </w:pPr>
      <w:r>
        <w:rPr>
          <w:rFonts w:ascii="仿宋" w:hAnsi="仿宋" w:eastAsia="仿宋"/>
          <w:sz w:val="32"/>
          <w:szCs w:val="32"/>
        </w:rPr>
        <w:t>2021年10月22日，贵州省凯里市人民法院作出（2021）黔2601刑初194号刑事附带民事判决，认定杨海犯危害国家重点保护植物罪，判处有期徒刑三年八个月，罚金人民币15000.00元；责令被告人暨附带民事公益诉讼被告杨海在判决生效后一年内按照丹寨县林业局出具的修复方案承担生态修复责任，若期限内未修复的，则按照丹寨县林业局认定的《补植复绿费用及责任人员分表》支付所需费用，并承担连带责任；退缴违法所得人民币2850.00元，上缴国库。该犯不服，提出上诉。2022年3月30日，贵州省黔东南苗族侗族自治州中级人民法院作出（2022）黔26刑终字68号刑事裁定，驳回上诉，维持原判。刑期自2022年6月20日起至2026年2月19日止。判决发生法律效力后交付执行。</w:t>
      </w:r>
    </w:p>
    <w:p>
      <w:pPr>
        <w:snapToGrid w:val="0"/>
        <w:spacing w:line="480" w:lineRule="exact"/>
        <w:ind w:firstLine="640"/>
        <w:rPr>
          <w:rFonts w:ascii="仿宋" w:hAnsi="仿宋" w:eastAsia="仿宋"/>
          <w:sz w:val="32"/>
          <w:szCs w:val="32"/>
        </w:rPr>
      </w:pPr>
      <w:r>
        <w:rPr>
          <w:rFonts w:ascii="仿宋" w:hAnsi="仿宋" w:eastAsia="仿宋"/>
          <w:sz w:val="32"/>
          <w:szCs w:val="32"/>
        </w:rPr>
        <w:t>判决发生法律效力后2022年7月21日交付执行，2022年10月31日从贵州省凯里监狱调入贵州省桐州监狱服刑。</w:t>
      </w:r>
    </w:p>
    <w:p>
      <w:pPr>
        <w:snapToGrid w:val="0"/>
        <w:spacing w:line="480" w:lineRule="exact"/>
        <w:ind w:firstLine="640"/>
        <w:rPr>
          <w:rFonts w:ascii="仿宋" w:hAnsi="仿宋" w:eastAsia="仿宋"/>
          <w:sz w:val="32"/>
          <w:szCs w:val="32"/>
        </w:rPr>
      </w:pPr>
      <w:r>
        <w:rPr>
          <w:rFonts w:ascii="仿宋" w:hAnsi="仿宋" w:eastAsia="仿宋"/>
          <w:sz w:val="32"/>
          <w:szCs w:val="32"/>
        </w:rPr>
        <w:t>服刑期间执行刑期变动情况：无。刑期2022年6月20日至2026年2月19日。</w:t>
      </w:r>
    </w:p>
    <w:p>
      <w:pPr>
        <w:snapToGrid w:val="0"/>
        <w:spacing w:line="480" w:lineRule="exact"/>
        <w:ind w:firstLine="640"/>
        <w:rPr>
          <w:rFonts w:ascii="仿宋" w:hAnsi="仿宋" w:eastAsia="仿宋"/>
          <w:sz w:val="32"/>
          <w:szCs w:val="32"/>
        </w:rPr>
      </w:pPr>
      <w:r>
        <w:rPr>
          <w:rFonts w:ascii="仿宋" w:hAnsi="仿宋" w:eastAsia="仿宋"/>
          <w:sz w:val="32"/>
          <w:szCs w:val="32"/>
        </w:rPr>
        <w:t>该犯在服刑改造期间，确有悔改表现，具体事实如下：</w:t>
      </w:r>
    </w:p>
    <w:p>
      <w:pPr>
        <w:snapToGrid w:val="0"/>
        <w:spacing w:line="480" w:lineRule="exact"/>
        <w:ind w:firstLine="640"/>
        <w:rPr>
          <w:rFonts w:ascii="仿宋" w:hAnsi="仿宋" w:eastAsia="仿宋"/>
          <w:sz w:val="32"/>
          <w:szCs w:val="32"/>
        </w:rPr>
      </w:pPr>
      <w:r>
        <w:rPr>
          <w:rFonts w:ascii="仿宋" w:hAnsi="仿宋" w:eastAsia="仿宋"/>
          <w:sz w:val="32"/>
          <w:szCs w:val="32"/>
        </w:rPr>
        <w:t>一、认罪悔罪方面：罪犯杨海在服刑期间，能服从法院判决，认罪悔罪。</w:t>
      </w:r>
    </w:p>
    <w:p>
      <w:pPr>
        <w:snapToGrid w:val="0"/>
        <w:spacing w:line="480" w:lineRule="exact"/>
        <w:ind w:firstLine="640"/>
        <w:rPr>
          <w:rFonts w:ascii="仿宋" w:hAnsi="仿宋" w:eastAsia="仿宋"/>
          <w:sz w:val="32"/>
          <w:szCs w:val="32"/>
        </w:rPr>
      </w:pPr>
      <w:r>
        <w:rPr>
          <w:rFonts w:ascii="仿宋" w:hAnsi="仿宋" w:eastAsia="仿宋"/>
          <w:sz w:val="32"/>
          <w:szCs w:val="32"/>
        </w:rPr>
        <w:t>二、遵守法律法规及监规方面：罪犯杨海在服刑期间，认真遵守法律法规及监规纪律，服从管教。</w:t>
      </w:r>
    </w:p>
    <w:p>
      <w:pPr>
        <w:snapToGrid w:val="0"/>
        <w:spacing w:line="480" w:lineRule="exact"/>
        <w:ind w:firstLine="640"/>
        <w:rPr>
          <w:rFonts w:ascii="仿宋" w:hAnsi="仿宋" w:eastAsia="仿宋"/>
          <w:sz w:val="32"/>
          <w:szCs w:val="32"/>
        </w:rPr>
      </w:pPr>
      <w:r>
        <w:rPr>
          <w:rFonts w:ascii="仿宋" w:hAnsi="仿宋" w:eastAsia="仿宋"/>
          <w:sz w:val="32"/>
          <w:szCs w:val="32"/>
        </w:rPr>
        <w:t>三、教育改造方面：能接受教育改造，积极参加思想、文化、职业技术教育，“三课”学习成绩合格。</w:t>
      </w:r>
    </w:p>
    <w:p>
      <w:pPr>
        <w:snapToGrid w:val="0"/>
        <w:spacing w:line="480" w:lineRule="exact"/>
        <w:ind w:firstLine="640"/>
        <w:rPr>
          <w:rFonts w:ascii="仿宋" w:hAnsi="仿宋" w:eastAsia="仿宋"/>
          <w:sz w:val="32"/>
          <w:szCs w:val="32"/>
        </w:rPr>
      </w:pPr>
      <w:r>
        <w:rPr>
          <w:rFonts w:ascii="仿宋" w:hAnsi="仿宋" w:eastAsia="仿宋"/>
          <w:sz w:val="32"/>
          <w:szCs w:val="32"/>
        </w:rPr>
        <w:t>四、劳动改造方面：能积极参加劳动，努力学习劳动技能，踏实肯干，主要从事数据线注塑等工种，按时完成警官下达的劳动任务，表现较好。</w:t>
      </w:r>
    </w:p>
    <w:p>
      <w:pPr>
        <w:snapToGrid w:val="0"/>
        <w:spacing w:line="480" w:lineRule="exact"/>
        <w:ind w:firstLine="640"/>
        <w:rPr>
          <w:rFonts w:ascii="仿宋" w:hAnsi="仿宋" w:eastAsia="仿宋"/>
          <w:sz w:val="32"/>
          <w:szCs w:val="32"/>
        </w:rPr>
      </w:pPr>
      <w:r>
        <w:rPr>
          <w:rFonts w:ascii="仿宋" w:hAnsi="仿宋" w:eastAsia="仿宋"/>
          <w:sz w:val="32"/>
          <w:szCs w:val="32"/>
        </w:rPr>
        <w:t>五、履行财产性判项方面：罚金人民币15000元(已全部缴纳)；追缴违法所得人民币2850元(已全部缴纳)。</w:t>
      </w:r>
    </w:p>
    <w:p>
      <w:pPr>
        <w:snapToGrid w:val="0"/>
        <w:spacing w:line="480" w:lineRule="exact"/>
        <w:ind w:firstLine="640"/>
        <w:rPr>
          <w:rFonts w:ascii="仿宋" w:hAnsi="仿宋" w:eastAsia="仿宋"/>
          <w:sz w:val="32"/>
          <w:szCs w:val="32"/>
        </w:rPr>
      </w:pPr>
      <w:r>
        <w:rPr>
          <w:rFonts w:ascii="仿宋" w:hAnsi="仿宋" w:eastAsia="仿宋"/>
          <w:sz w:val="32"/>
          <w:szCs w:val="32"/>
        </w:rPr>
        <w:t>六、考核奖励情况：2022年7月至2023年3月获1个表扬；2023年4月至2023年9月获1个表扬；2023年10月至2024年3月获1个表扬；获得共3个表扬。</w:t>
      </w:r>
    </w:p>
    <w:p>
      <w:pPr>
        <w:snapToGrid w:val="0"/>
        <w:spacing w:line="480" w:lineRule="exact"/>
        <w:ind w:firstLine="640"/>
        <w:rPr>
          <w:rFonts w:ascii="仿宋" w:hAnsi="仿宋" w:eastAsia="仿宋"/>
          <w:sz w:val="32"/>
          <w:szCs w:val="32"/>
        </w:rPr>
      </w:pPr>
      <w:r>
        <w:rPr>
          <w:rFonts w:ascii="仿宋" w:hAnsi="仿宋" w:eastAsia="仿宋"/>
          <w:sz w:val="32"/>
          <w:szCs w:val="32"/>
        </w:rPr>
        <w:t>扣分及违规情况：无。</w:t>
      </w:r>
    </w:p>
    <w:p>
      <w:pPr>
        <w:snapToGrid w:val="0"/>
        <w:spacing w:line="480" w:lineRule="exact"/>
        <w:ind w:firstLine="640"/>
        <w:rPr>
          <w:rFonts w:ascii="仿宋" w:hAnsi="仿宋" w:eastAsia="仿宋"/>
          <w:sz w:val="32"/>
          <w:szCs w:val="32"/>
        </w:rPr>
      </w:pPr>
      <w:r>
        <w:rPr>
          <w:rFonts w:ascii="仿宋" w:hAnsi="仿宋" w:eastAsia="仿宋"/>
          <w:sz w:val="32"/>
          <w:szCs w:val="32"/>
        </w:rPr>
        <w:t>从严情形：无。</w:t>
      </w:r>
    </w:p>
    <w:p>
      <w:pPr>
        <w:snapToGrid w:val="0"/>
        <w:spacing w:line="480" w:lineRule="exact"/>
        <w:ind w:firstLine="640"/>
        <w:rPr>
          <w:rFonts w:ascii="仿宋" w:hAnsi="仿宋" w:eastAsia="仿宋"/>
          <w:sz w:val="32"/>
          <w:szCs w:val="32"/>
        </w:rPr>
      </w:pPr>
      <w:r>
        <w:rPr>
          <w:rFonts w:ascii="仿宋" w:hAnsi="仿宋" w:eastAsia="仿宋"/>
          <w:sz w:val="32"/>
          <w:szCs w:val="32"/>
        </w:rPr>
        <w:t>检察机关审查意见：</w:t>
      </w:r>
      <w:r>
        <w:rPr>
          <w:rFonts w:ascii="仿宋" w:hAnsi="仿宋" w:eastAsia="仿宋"/>
          <w:sz w:val="32"/>
          <w:u w:val="none" w:color="00000A"/>
        </w:rPr>
        <w:t>经审查，我院认为，罪犯杨海拟提请减刑幅度不当。理由是：该犯犯危害国家重点保护植物罪，综合考虑该犯犯罪性质、情节、危害程度等情况，根据《最高人民法院关于办理减刑、假释案件具体应用法律的规定》第二条之规定，建议监狱对该犯减刑幅度从严掌握，并按程序报请监狱长办公会审议。监狱长办公会予以采纳。</w:t>
      </w:r>
    </w:p>
    <w:p>
      <w:pPr>
        <w:snapToGrid w:val="0"/>
        <w:spacing w:line="480" w:lineRule="exact"/>
        <w:ind w:firstLine="640"/>
        <w:rPr>
          <w:rFonts w:ascii="仿宋" w:hAnsi="仿宋" w:eastAsia="仿宋"/>
          <w:sz w:val="32"/>
          <w:szCs w:val="32"/>
        </w:rPr>
      </w:pPr>
      <w:r>
        <w:rPr>
          <w:rFonts w:ascii="仿宋" w:hAnsi="仿宋" w:eastAsia="仿宋"/>
          <w:sz w:val="32"/>
          <w:szCs w:val="32"/>
        </w:rPr>
        <w:t>综上所述，罪犯杨海在服刑改造期间，能认真遵守监规，接受教育改造，确有悔改表现。</w:t>
      </w:r>
    </w:p>
    <w:p>
      <w:pPr>
        <w:snapToGrid w:val="0"/>
        <w:spacing w:line="480" w:lineRule="exact"/>
        <w:ind w:firstLine="640"/>
        <w:rPr>
          <w:rFonts w:ascii="仿宋" w:hAnsi="仿宋" w:eastAsia="仿宋"/>
          <w:sz w:val="32"/>
          <w:szCs w:val="32"/>
        </w:rPr>
      </w:pPr>
      <w:r>
        <w:rPr>
          <w:rFonts w:ascii="仿宋" w:hAnsi="仿宋" w:eastAsia="仿宋"/>
          <w:sz w:val="32"/>
          <w:szCs w:val="32"/>
        </w:rPr>
        <w:t>为此，根据《中华人民共和国刑法》第七十八条第一款，第七十九条、《中华人民共和国刑事诉讼法》第二百七十三条、《中华人民共和国监狱法》第二十九条之规定，经征求检察机关意见，建议对罪犯杨海提请减去有期徒刑八个月。特提请裁定。</w:t>
      </w:r>
    </w:p>
    <w:p>
      <w:pPr>
        <w:snapToGrid w:val="0"/>
        <w:spacing w:line="480" w:lineRule="exact"/>
        <w:ind w:firstLine="640"/>
        <w:rPr>
          <w:rFonts w:ascii="仿宋" w:hAnsi="仿宋" w:eastAsia="仿宋"/>
          <w:sz w:val="32"/>
          <w:szCs w:val="32"/>
        </w:rPr>
      </w:pPr>
      <w:r>
        <w:rPr>
          <w:rFonts w:ascii="仿宋" w:hAnsi="仿宋" w:eastAsia="仿宋"/>
          <w:sz w:val="32"/>
          <w:szCs w:val="32"/>
        </w:rPr>
        <w:t>此致</w:t>
      </w:r>
    </w:p>
    <w:p>
      <w:pPr>
        <w:snapToGrid w:val="0"/>
        <w:spacing w:line="480" w:lineRule="exact"/>
        <w:rPr>
          <w:rFonts w:ascii="仿宋" w:hAnsi="仿宋" w:eastAsia="仿宋"/>
          <w:sz w:val="32"/>
          <w:szCs w:val="32"/>
        </w:rPr>
      </w:pPr>
      <w:r>
        <w:rPr>
          <w:rFonts w:ascii="仿宋" w:hAnsi="仿宋" w:eastAsia="仿宋"/>
          <w:sz w:val="32"/>
          <w:szCs w:val="32"/>
        </w:rPr>
        <w:t>黔南布依族苗族自治州中级人民法院</w:t>
      </w:r>
    </w:p>
    <w:p>
      <w:pPr>
        <w:jc w:val="center"/>
        <w:rPr>
          <w:rFonts w:ascii="仿宋_GB2312" w:hAnsi="仿宋_GB2312" w:eastAsia="仿宋_GB2312"/>
          <w:sz w:val="32"/>
          <w:szCs w:val="32"/>
        </w:rPr>
      </w:pPr>
      <w:r>
        <w:rPr>
          <w:rFonts w:ascii="仿宋_GB2312" w:hAnsi="仿宋_GB2312" w:eastAsia="仿宋_GB2312"/>
          <w:sz w:val="32"/>
          <w:szCs w:val="32"/>
        </w:rPr>
        <w:t xml:space="preserve">   </w:t>
      </w:r>
      <w:bookmarkStart w:id="0" w:name="_GoBack"/>
      <w:bookmarkEnd w:id="0"/>
      <w:r>
        <w:rPr>
          <w:rFonts w:ascii="仿宋_GB2312" w:hAnsi="仿宋_GB2312" w:eastAsia="仿宋_GB2312"/>
          <w:sz w:val="32"/>
          <w:szCs w:val="32"/>
        </w:rPr>
        <w:t xml:space="preserve">                            （公章）</w:t>
      </w:r>
    </w:p>
    <w:p>
      <w:pPr>
        <w:snapToGrid w:val="0"/>
        <w:spacing w:line="480" w:lineRule="exact"/>
        <w:ind w:firstLine="5760"/>
      </w:pPr>
      <w:r>
        <w:rPr>
          <w:rFonts w:ascii="仿宋_GB2312" w:hAnsi="仿宋_GB2312" w:eastAsia="仿宋_GB2312"/>
          <w:sz w:val="32"/>
          <w:szCs w:val="32"/>
        </w:rPr>
        <w:t>2024年10月9日</w:t>
      </w:r>
    </w:p>
    <w:sectPr>
      <w:pgSz w:w="11906" w:h="16838"/>
      <w:pgMar w:top="1440" w:right="1800" w:bottom="1440" w:left="1800" w:header="0" w:footer="0" w:gutter="0"/>
      <w:pgNumType w:fmt="decimal"/>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等线">
    <w:altName w:val="微软雅黑"/>
    <w:panose1 w:val="00000000000000000000"/>
    <w:charset w:val="01"/>
    <w:family w:val="roman"/>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roman"/>
    <w:pitch w:val="default"/>
    <w:sig w:usb0="800002BF" w:usb1="38CF7CFA" w:usb2="00000016" w:usb3="00000000" w:csb0="00040001" w:csb1="00000000"/>
  </w:font>
  <w:font w:name="Liberation Sans">
    <w:altName w:val="Arial"/>
    <w:panose1 w:val="00000000000000000000"/>
    <w:charset w:val="01"/>
    <w:family w:val="swiss"/>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Lohit Devanagari">
    <w:altName w:val="Segoe Print"/>
    <w:panose1 w:val="00000000000000000000"/>
    <w:charset w:val="00"/>
    <w:family w:val="auto"/>
    <w:pitch w:val="default"/>
    <w:sig w:usb0="00000000" w:usb1="00000000" w:usb2="00000000" w:usb3="00000000" w:csb0="00000000" w:csb1="00000000"/>
  </w:font>
  <w:font w:name="方正小标宋简体">
    <w:panose1 w:val="03000509000000000000"/>
    <w:charset w:val="86"/>
    <w:family w:val="roman"/>
    <w:pitch w:val="default"/>
    <w:sig w:usb0="00000001" w:usb1="080E0000" w:usb2="00000000" w:usb3="00000000" w:csb0="00040000" w:csb1="00000000"/>
  </w:font>
  <w:font w:name="楷体">
    <w:panose1 w:val="02010609060101010101"/>
    <w:charset w:val="86"/>
    <w:family w:val="roman"/>
    <w:pitch w:val="default"/>
    <w:sig w:usb0="800002BF" w:usb1="38CF7CFA" w:usb2="00000016" w:usb3="00000000" w:csb0="00040001" w:csb1="00000000"/>
  </w:font>
  <w:font w:name="仿宋_GB2312">
    <w:panose1 w:val="02010609030101010101"/>
    <w:charset w:val="86"/>
    <w:family w:val="roma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5BBD1DC2"/>
  </w:rsids>
  <m:mathPr>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iPriority="99" w:semiHidden="0"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bidi w:val="0"/>
      <w:jc w:val="both"/>
    </w:pPr>
    <w:rPr>
      <w:rFonts w:asciiTheme="minorHAnsi" w:hAnsiTheme="minorHAnsi" w:eastAsiaTheme="minorEastAsia" w:cstheme="minorBidi"/>
      <w:color w:val="auto"/>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caption"/>
    <w:basedOn w:val="1"/>
    <w:next w:val="1"/>
    <w:qFormat/>
    <w:uiPriority w:val="0"/>
    <w:pPr>
      <w:suppressLineNumbers/>
      <w:spacing w:before="120" w:after="120"/>
    </w:pPr>
    <w:rPr>
      <w:rFonts w:cs="Lohit Devanagari"/>
      <w:i/>
      <w:iCs/>
      <w:sz w:val="24"/>
      <w:szCs w:val="24"/>
    </w:rPr>
  </w:style>
  <w:style w:type="paragraph" w:styleId="3">
    <w:name w:val="Salutation"/>
    <w:basedOn w:val="1"/>
    <w:next w:val="1"/>
    <w:unhideWhenUsed/>
    <w:qFormat/>
    <w:uiPriority w:val="99"/>
    <w:rPr>
      <w:rFonts w:ascii="仿宋" w:hAnsi="仿宋" w:eastAsia="仿宋"/>
      <w:sz w:val="30"/>
      <w:szCs w:val="30"/>
    </w:rPr>
  </w:style>
  <w:style w:type="paragraph" w:styleId="4">
    <w:name w:val="Closing"/>
    <w:basedOn w:val="1"/>
    <w:unhideWhenUsed/>
    <w:qFormat/>
    <w:uiPriority w:val="99"/>
    <w:pPr>
      <w:ind w:left="100" w:firstLine="0"/>
    </w:pPr>
    <w:rPr>
      <w:rFonts w:ascii="仿宋" w:hAnsi="仿宋" w:eastAsia="仿宋"/>
      <w:sz w:val="30"/>
      <w:szCs w:val="30"/>
    </w:rPr>
  </w:style>
  <w:style w:type="paragraph" w:styleId="5">
    <w:name w:val="Body Text"/>
    <w:basedOn w:val="1"/>
    <w:uiPriority w:val="0"/>
    <w:pPr>
      <w:spacing w:before="0" w:after="140" w:line="288" w:lineRule="auto"/>
    </w:pPr>
  </w:style>
  <w:style w:type="paragraph" w:styleId="6">
    <w:name w:val="footer"/>
    <w:basedOn w:val="1"/>
    <w:unhideWhenUsed/>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00000A" w:sz="6" w:space="1"/>
      </w:pBdr>
      <w:tabs>
        <w:tab w:val="center" w:pos="4153"/>
        <w:tab w:val="right" w:pos="8306"/>
      </w:tabs>
      <w:snapToGrid w:val="0"/>
      <w:jc w:val="center"/>
    </w:pPr>
    <w:rPr>
      <w:sz w:val="18"/>
      <w:szCs w:val="18"/>
    </w:rPr>
  </w:style>
  <w:style w:type="paragraph" w:styleId="8">
    <w:name w:val="List"/>
    <w:basedOn w:val="5"/>
    <w:qFormat/>
    <w:uiPriority w:val="0"/>
    <w:rPr>
      <w:rFonts w:cs="Lohit Devanagari"/>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页眉 字符"/>
    <w:basedOn w:val="11"/>
    <w:qFormat/>
    <w:uiPriority w:val="99"/>
    <w:rPr>
      <w:sz w:val="18"/>
      <w:szCs w:val="18"/>
    </w:rPr>
  </w:style>
  <w:style w:type="character" w:customStyle="1" w:styleId="13">
    <w:name w:val="页脚 字符"/>
    <w:basedOn w:val="11"/>
    <w:qFormat/>
    <w:uiPriority w:val="99"/>
    <w:rPr>
      <w:sz w:val="18"/>
      <w:szCs w:val="18"/>
    </w:rPr>
  </w:style>
  <w:style w:type="character" w:customStyle="1" w:styleId="14">
    <w:name w:val="称呼 字符"/>
    <w:basedOn w:val="11"/>
    <w:qFormat/>
    <w:uiPriority w:val="99"/>
    <w:rPr>
      <w:rFonts w:ascii="仿宋" w:hAnsi="仿宋" w:eastAsia="仿宋"/>
      <w:sz w:val="30"/>
      <w:szCs w:val="30"/>
    </w:rPr>
  </w:style>
  <w:style w:type="character" w:customStyle="1" w:styleId="15">
    <w:name w:val="结束语 字符"/>
    <w:basedOn w:val="11"/>
    <w:qFormat/>
    <w:uiPriority w:val="99"/>
    <w:rPr>
      <w:rFonts w:ascii="仿宋" w:hAnsi="仿宋" w:eastAsia="仿宋"/>
      <w:sz w:val="30"/>
      <w:szCs w:val="30"/>
    </w:rPr>
  </w:style>
  <w:style w:type="paragraph" w:customStyle="1" w:styleId="16">
    <w:name w:val="Heading"/>
    <w:basedOn w:val="1"/>
    <w:next w:val="5"/>
    <w:qFormat/>
    <w:uiPriority w:val="0"/>
    <w:pPr>
      <w:keepNext/>
      <w:spacing w:before="240" w:after="120"/>
    </w:pPr>
    <w:rPr>
      <w:rFonts w:ascii="Liberation Sans" w:hAnsi="Liberation Sans" w:eastAsia="微软雅黑" w:cs="Lohit Devanagari"/>
      <w:sz w:val="28"/>
      <w:szCs w:val="28"/>
    </w:rPr>
  </w:style>
  <w:style w:type="paragraph" w:customStyle="1" w:styleId="17">
    <w:name w:val="Index"/>
    <w:basedOn w:val="1"/>
    <w:qFormat/>
    <w:uiPriority w:val="0"/>
    <w:pPr>
      <w:suppressLineNumbers/>
    </w:pPr>
    <w:rPr>
      <w:rFonts w:cs="Lohit Devanagar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33</Words>
  <Characters>190</Characters>
  <Paragraphs>1</Paragraphs>
  <TotalTime>92</TotalTime>
  <ScaleCrop>false</ScaleCrop>
  <LinksUpToDate>false</LinksUpToDate>
  <CharactersWithSpaces>222</CharactersWithSpaces>
  <Application>WPS Office_11.8.2.12011_F1E327BC-269C-435d-A152-05C5408002CA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2022-10-06T01:49:00Z</dcterms:created>
  <dc:creator>曾 三</dc:creator>
  <cp:lastModifiedBy>wps</cp:lastModifiedBy>
  <dcterms:modified xsi:type="dcterms:W3CDTF">2024-10-16T08:03:38Z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2052-11.8.2.12011</vt:lpwstr>
  </property>
  <property fmtid="{D5CDD505-2E9C-101B-9397-08002B2CF9AE}" pid="9" name="ICV">
    <vt:lpwstr>D9F1B9357D1D486DBC118EA3759272D5</vt:lpwstr>
  </property>
</Properties>
</file>