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简体" w:hAnsi="方正小标宋简体" w:eastAsia="方正小标宋简体"/>
          <w:sz w:val="44"/>
          <w:szCs w:val="44"/>
        </w:rPr>
      </w:pPr>
      <w:r>
        <w:rPr>
          <w:rFonts w:ascii="方正小标宋简体" w:hAnsi="方正小标宋简体" w:eastAsia="方正小标宋简体"/>
          <w:sz w:val="44"/>
          <w:szCs w:val="44"/>
        </w:rPr>
        <w:t>提请减刑建议书</w:t>
      </w:r>
    </w:p>
    <w:p>
      <w:pPr>
        <w:jc w:val="right"/>
        <w:rPr>
          <w:rFonts w:ascii="楷体" w:hAnsi="楷体" w:eastAsia="楷体"/>
          <w:sz w:val="32"/>
          <w:szCs w:val="32"/>
        </w:rPr>
      </w:pPr>
      <w:r>
        <w:rPr>
          <w:rFonts w:ascii="楷体" w:hAnsi="楷体" w:eastAsia="楷体"/>
          <w:sz w:val="32"/>
          <w:szCs w:val="32"/>
        </w:rPr>
        <w:t>(2024)桐监减字第30号</w:t>
      </w:r>
    </w:p>
    <w:p>
      <w:pPr>
        <w:snapToGrid w:val="0"/>
        <w:spacing w:line="480" w:lineRule="exact"/>
        <w:ind w:firstLine="640"/>
        <w:rPr>
          <w:rFonts w:ascii="仿宋" w:hAnsi="仿宋" w:eastAsia="仿宋"/>
          <w:sz w:val="32"/>
          <w:szCs w:val="32"/>
        </w:rPr>
      </w:pPr>
      <w:r>
        <w:rPr>
          <w:rFonts w:ascii="仿宋" w:hAnsi="仿宋" w:eastAsia="仿宋"/>
          <w:sz w:val="32"/>
          <w:szCs w:val="32"/>
        </w:rPr>
        <w:t>罪犯龙泉，男，1993年10月22日生，汉族，本科文化，贵州省福泉市人。现在贵州省桐州监狱服刑。</w:t>
      </w:r>
    </w:p>
    <w:p>
      <w:pPr>
        <w:snapToGrid w:val="0"/>
        <w:spacing w:line="480" w:lineRule="exact"/>
        <w:ind w:firstLine="640"/>
        <w:rPr>
          <w:rFonts w:ascii="仿宋" w:hAnsi="仿宋" w:eastAsia="仿宋"/>
          <w:sz w:val="32"/>
          <w:szCs w:val="32"/>
        </w:rPr>
      </w:pPr>
      <w:r>
        <w:rPr>
          <w:rFonts w:ascii="仿宋" w:hAnsi="仿宋" w:eastAsia="仿宋"/>
          <w:sz w:val="32"/>
          <w:szCs w:val="32"/>
        </w:rPr>
        <w:t>2022年3月2日，贵州省瓮安县人民法院作出（2021）黔2725刑初291号刑事判决，认定龙泉犯违法发放贷款罪，判处有期徒刑三年九个月，并处罚金人民币50000.00元。刑期自2021年7月27日起至2025年4月26日止。判决发生法律效力后交付执行。</w:t>
      </w:r>
    </w:p>
    <w:p>
      <w:pPr>
        <w:snapToGrid w:val="0"/>
        <w:spacing w:line="480" w:lineRule="exact"/>
        <w:ind w:firstLine="640"/>
        <w:rPr>
          <w:rFonts w:ascii="仿宋" w:hAnsi="仿宋" w:eastAsia="仿宋"/>
          <w:sz w:val="32"/>
          <w:szCs w:val="32"/>
        </w:rPr>
      </w:pPr>
      <w:r>
        <w:rPr>
          <w:rFonts w:ascii="仿宋" w:hAnsi="仿宋" w:eastAsia="仿宋"/>
          <w:sz w:val="32"/>
          <w:szCs w:val="32"/>
        </w:rPr>
        <w:t>2023年4月13日，贵州省瓮安县人民法院作出（2022）黔2725民初1271号民事判决，限龙泉于该判决生效后十日内偿还贵州省瓮安县农村商业银行股份有限公司借款本金人民币350000元及利息3913.95元，2022年3月21日以后的利息按双方借款合同及几款借据的约定计付至借款清偿完毕之日止。案件受理费减半收取3304元，由龙泉负担。</w:t>
      </w:r>
    </w:p>
    <w:p>
      <w:pPr>
        <w:snapToGrid w:val="0"/>
        <w:spacing w:line="480" w:lineRule="exact"/>
        <w:ind w:firstLine="640"/>
        <w:rPr>
          <w:rFonts w:ascii="仿宋" w:hAnsi="仿宋" w:eastAsia="仿宋"/>
          <w:sz w:val="32"/>
          <w:szCs w:val="32"/>
        </w:rPr>
      </w:pPr>
      <w:r>
        <w:rPr>
          <w:rFonts w:ascii="仿宋" w:hAnsi="仿宋" w:eastAsia="仿宋"/>
          <w:sz w:val="32"/>
          <w:szCs w:val="32"/>
        </w:rPr>
        <w:t>判决发生法律效力后2022年4月22日交付执行，2022年5月31日从贵州省凯里监狱调入贵州省桐州监狱服刑。</w:t>
      </w:r>
    </w:p>
    <w:p>
      <w:pPr>
        <w:snapToGrid w:val="0"/>
        <w:spacing w:line="480" w:lineRule="exact"/>
        <w:ind w:firstLine="640"/>
        <w:rPr>
          <w:rFonts w:ascii="仿宋" w:hAnsi="仿宋" w:eastAsia="仿宋"/>
          <w:sz w:val="32"/>
          <w:szCs w:val="32"/>
        </w:rPr>
      </w:pPr>
      <w:r>
        <w:rPr>
          <w:rFonts w:ascii="仿宋" w:hAnsi="仿宋" w:eastAsia="仿宋"/>
          <w:sz w:val="32"/>
          <w:szCs w:val="32"/>
        </w:rPr>
        <w:t>服刑期间执行刑期变动情况：无。刑期2021年7月27日至2025年4月26日。</w:t>
      </w:r>
    </w:p>
    <w:p>
      <w:pPr>
        <w:snapToGrid w:val="0"/>
        <w:spacing w:line="480" w:lineRule="exact"/>
        <w:ind w:firstLine="640"/>
        <w:rPr>
          <w:rFonts w:ascii="仿宋" w:hAnsi="仿宋" w:eastAsia="仿宋"/>
          <w:sz w:val="32"/>
          <w:szCs w:val="32"/>
        </w:rPr>
      </w:pPr>
      <w:r>
        <w:rPr>
          <w:rFonts w:ascii="仿宋" w:hAnsi="仿宋" w:eastAsia="仿宋"/>
          <w:sz w:val="32"/>
          <w:szCs w:val="32"/>
        </w:rPr>
        <w:t>该犯在服刑改造期间，确有悔改表现，具体事实如下：</w:t>
      </w:r>
    </w:p>
    <w:p>
      <w:pPr>
        <w:snapToGrid w:val="0"/>
        <w:spacing w:line="480" w:lineRule="exact"/>
        <w:ind w:firstLine="640"/>
        <w:rPr>
          <w:rFonts w:ascii="仿宋" w:hAnsi="仿宋" w:eastAsia="仿宋"/>
          <w:sz w:val="32"/>
          <w:szCs w:val="32"/>
        </w:rPr>
      </w:pPr>
      <w:r>
        <w:rPr>
          <w:rFonts w:ascii="仿宋" w:hAnsi="仿宋" w:eastAsia="仿宋"/>
          <w:sz w:val="32"/>
          <w:szCs w:val="32"/>
        </w:rPr>
        <w:t>一、认罪悔罪方面：罪犯龙泉在服刑期间，能服从法院判决，认罪悔罪。</w:t>
      </w:r>
    </w:p>
    <w:p>
      <w:pPr>
        <w:snapToGrid w:val="0"/>
        <w:spacing w:line="480" w:lineRule="exact"/>
        <w:ind w:firstLine="640"/>
        <w:rPr>
          <w:rFonts w:ascii="仿宋" w:hAnsi="仿宋" w:eastAsia="仿宋"/>
          <w:sz w:val="32"/>
          <w:szCs w:val="32"/>
        </w:rPr>
      </w:pPr>
      <w:r>
        <w:rPr>
          <w:rFonts w:ascii="仿宋" w:hAnsi="仿宋" w:eastAsia="仿宋"/>
          <w:sz w:val="32"/>
          <w:szCs w:val="32"/>
        </w:rPr>
        <w:t>二、遵守法律法规及监规方面：罪犯龙泉在服刑期间，认真遵守法律法规及监规纪律，服从管教，听从安排。</w:t>
      </w:r>
    </w:p>
    <w:p>
      <w:pPr>
        <w:snapToGrid w:val="0"/>
        <w:spacing w:line="480" w:lineRule="exact"/>
        <w:ind w:firstLine="640"/>
        <w:rPr>
          <w:rFonts w:ascii="仿宋" w:hAnsi="仿宋" w:eastAsia="仿宋"/>
          <w:sz w:val="32"/>
          <w:szCs w:val="32"/>
        </w:rPr>
      </w:pPr>
      <w:r>
        <w:rPr>
          <w:rFonts w:ascii="仿宋" w:hAnsi="仿宋" w:eastAsia="仿宋"/>
          <w:sz w:val="32"/>
          <w:szCs w:val="32"/>
        </w:rPr>
        <w:t>三、教育改造方面：能接受教育改造，积极参加思想、文化、职业技术教育，“三课”学习成绩合格。</w:t>
      </w:r>
    </w:p>
    <w:p>
      <w:pPr>
        <w:snapToGrid w:val="0"/>
        <w:spacing w:line="480" w:lineRule="exact"/>
        <w:ind w:firstLine="640"/>
        <w:rPr>
          <w:rFonts w:ascii="仿宋" w:hAnsi="仿宋" w:eastAsia="仿宋"/>
          <w:sz w:val="32"/>
          <w:szCs w:val="32"/>
        </w:rPr>
      </w:pPr>
      <w:r>
        <w:rPr>
          <w:rFonts w:ascii="仿宋" w:hAnsi="仿宋" w:eastAsia="仿宋"/>
          <w:sz w:val="32"/>
          <w:szCs w:val="32"/>
        </w:rPr>
        <w:t>四、劳动改造方面：能积极参加劳动，态度端正，主要从事生活卫生、数据线套壳、数据线品检等工种，按时完成劳动任务，表现较好。</w:t>
      </w:r>
    </w:p>
    <w:p>
      <w:pPr>
        <w:snapToGrid w:val="0"/>
        <w:spacing w:line="480" w:lineRule="exact"/>
        <w:ind w:firstLine="640"/>
        <w:rPr>
          <w:rFonts w:ascii="仿宋" w:hAnsi="仿宋" w:eastAsia="仿宋"/>
          <w:sz w:val="32"/>
          <w:szCs w:val="32"/>
        </w:rPr>
      </w:pPr>
      <w:r>
        <w:rPr>
          <w:rFonts w:ascii="仿宋" w:hAnsi="仿宋" w:eastAsia="仿宋"/>
          <w:sz w:val="32"/>
          <w:szCs w:val="32"/>
        </w:rPr>
        <w:t>五、履行财产性判项方面：罚金人民币50000元(已全部缴纳)；向瓮安县农商银行的借款本金人民币350000元及利息3913.95元，2022年3月21日以后至借款清偿完毕之日止的利息，案件受理费3304元（已履行完毕）。</w:t>
      </w:r>
    </w:p>
    <w:p>
      <w:pPr>
        <w:snapToGrid w:val="0"/>
        <w:spacing w:line="480" w:lineRule="exact"/>
        <w:ind w:firstLine="640"/>
        <w:rPr>
          <w:rFonts w:ascii="仿宋" w:hAnsi="仿宋" w:eastAsia="仿宋"/>
          <w:sz w:val="32"/>
          <w:szCs w:val="32"/>
        </w:rPr>
      </w:pPr>
      <w:r>
        <w:rPr>
          <w:rFonts w:ascii="仿宋" w:hAnsi="仿宋" w:eastAsia="仿宋"/>
          <w:sz w:val="32"/>
          <w:szCs w:val="32"/>
        </w:rPr>
        <w:t>六、考核奖励情况：2022年4月至2022年12月获1个表扬；2023年1月至2023年6月获1个表扬；2023年7月至2023年12月获1个表扬；获得共3个表扬。</w:t>
      </w:r>
    </w:p>
    <w:p>
      <w:pPr>
        <w:snapToGrid w:val="0"/>
        <w:spacing w:line="480" w:lineRule="exact"/>
        <w:ind w:firstLine="640"/>
        <w:rPr>
          <w:rFonts w:ascii="仿宋" w:hAnsi="仿宋" w:eastAsia="仿宋"/>
          <w:sz w:val="32"/>
          <w:szCs w:val="32"/>
        </w:rPr>
      </w:pPr>
      <w:r>
        <w:rPr>
          <w:rFonts w:ascii="仿宋" w:hAnsi="仿宋" w:eastAsia="仿宋"/>
          <w:sz w:val="32"/>
          <w:szCs w:val="32"/>
        </w:rPr>
        <w:t>扣分及违规情况：无。</w:t>
      </w:r>
    </w:p>
    <w:p>
      <w:pPr>
        <w:snapToGrid w:val="0"/>
        <w:spacing w:line="480" w:lineRule="exact"/>
        <w:ind w:firstLine="640"/>
        <w:rPr>
          <w:rFonts w:ascii="仿宋" w:hAnsi="仿宋" w:eastAsia="仿宋"/>
          <w:sz w:val="32"/>
          <w:szCs w:val="32"/>
        </w:rPr>
      </w:pPr>
      <w:r>
        <w:rPr>
          <w:rFonts w:ascii="仿宋" w:hAnsi="仿宋" w:eastAsia="仿宋"/>
          <w:sz w:val="32"/>
          <w:szCs w:val="32"/>
        </w:rPr>
        <w:t>从严情形：破坏金融管理秩序犯。</w:t>
      </w:r>
    </w:p>
    <w:p>
      <w:pPr>
        <w:snapToGrid w:val="0"/>
        <w:spacing w:line="480" w:lineRule="exact"/>
        <w:ind w:firstLine="640"/>
        <w:rPr>
          <w:rFonts w:ascii="仿宋" w:hAnsi="仿宋" w:eastAsia="仿宋"/>
          <w:sz w:val="32"/>
          <w:szCs w:val="32"/>
        </w:rPr>
      </w:pPr>
      <w:r>
        <w:rPr>
          <w:rFonts w:ascii="仿宋" w:hAnsi="仿宋" w:eastAsia="仿宋"/>
          <w:sz w:val="32"/>
          <w:szCs w:val="32"/>
        </w:rPr>
        <w:t>检察机关审查意见：</w:t>
      </w:r>
      <w:r>
        <w:rPr>
          <w:rFonts w:ascii="仿宋" w:hAnsi="仿宋" w:eastAsia="仿宋"/>
          <w:sz w:val="32"/>
          <w:u w:val="none" w:color="00000A"/>
        </w:rPr>
        <w:t>经审查，我院认为：罪犯龙泉符合提请减刑条件。未发现提请减刑建议不当，同意将案件交监狱长办公会审核。</w:t>
      </w:r>
    </w:p>
    <w:p>
      <w:pPr>
        <w:snapToGrid w:val="0"/>
        <w:spacing w:line="480" w:lineRule="exact"/>
        <w:ind w:firstLine="640"/>
        <w:rPr>
          <w:rFonts w:ascii="仿宋" w:hAnsi="仿宋" w:eastAsia="仿宋"/>
          <w:sz w:val="32"/>
          <w:szCs w:val="32"/>
        </w:rPr>
      </w:pPr>
      <w:r>
        <w:rPr>
          <w:rFonts w:ascii="仿宋" w:hAnsi="仿宋" w:eastAsia="仿宋"/>
          <w:sz w:val="32"/>
          <w:szCs w:val="32"/>
        </w:rPr>
        <w:t>综上所述，罪犯龙泉在服刑改造期间，能认真遵守监规，接受教育改造，确有悔改表现。</w:t>
      </w:r>
    </w:p>
    <w:p>
      <w:pPr>
        <w:snapToGrid w:val="0"/>
        <w:spacing w:line="480" w:lineRule="exact"/>
        <w:ind w:firstLine="640"/>
        <w:rPr>
          <w:rFonts w:ascii="仿宋" w:hAnsi="仿宋" w:eastAsia="仿宋"/>
          <w:sz w:val="32"/>
          <w:szCs w:val="32"/>
        </w:rPr>
      </w:pPr>
      <w:r>
        <w:rPr>
          <w:rFonts w:ascii="仿宋" w:hAnsi="仿宋" w:eastAsia="仿宋"/>
          <w:sz w:val="32"/>
          <w:szCs w:val="32"/>
        </w:rPr>
        <w:t>为此，根据《中华人民共和国刑法》第七十八条第一款，第七十九条、《中华人民共和国刑事诉讼法》第二百七十三条、《中华人民共和国监狱法》第二十九条之规定，经征求检察机关意见，建议对罪犯龙泉提请减去有期徒刑三个月。特提请裁定。</w:t>
      </w:r>
    </w:p>
    <w:p>
      <w:pPr>
        <w:snapToGrid w:val="0"/>
        <w:spacing w:line="480" w:lineRule="exact"/>
        <w:ind w:firstLine="640"/>
        <w:rPr>
          <w:rFonts w:ascii="仿宋" w:hAnsi="仿宋" w:eastAsia="仿宋"/>
          <w:sz w:val="32"/>
          <w:szCs w:val="32"/>
        </w:rPr>
      </w:pPr>
      <w:r>
        <w:rPr>
          <w:rFonts w:ascii="仿宋" w:hAnsi="仿宋" w:eastAsia="仿宋"/>
          <w:sz w:val="32"/>
          <w:szCs w:val="32"/>
        </w:rPr>
        <w:t>此致</w:t>
      </w:r>
    </w:p>
    <w:p>
      <w:pPr>
        <w:snapToGrid w:val="0"/>
        <w:spacing w:line="480" w:lineRule="exact"/>
        <w:rPr>
          <w:rFonts w:ascii="仿宋" w:hAnsi="仿宋" w:eastAsia="仿宋"/>
          <w:sz w:val="32"/>
          <w:szCs w:val="32"/>
        </w:rPr>
      </w:pPr>
      <w:r>
        <w:rPr>
          <w:rFonts w:ascii="仿宋" w:hAnsi="仿宋" w:eastAsia="仿宋"/>
          <w:sz w:val="32"/>
          <w:szCs w:val="32"/>
        </w:rPr>
        <w:t>黔南布依族苗族自治州中级人民法院</w:t>
      </w:r>
    </w:p>
    <w:p>
      <w:pPr>
        <w:snapToGrid w:val="0"/>
        <w:spacing w:line="480" w:lineRule="exact"/>
        <w:rPr>
          <w:rFonts w:ascii="仿宋" w:hAnsi="仿宋" w:eastAsia="仿宋"/>
          <w:sz w:val="32"/>
          <w:szCs w:val="32"/>
        </w:rPr>
      </w:pPr>
      <w:bookmarkStart w:id="0" w:name="_GoBack"/>
      <w:bookmarkEnd w:id="0"/>
    </w:p>
    <w:p>
      <w:pPr>
        <w:jc w:val="center"/>
        <w:rPr>
          <w:rFonts w:ascii="仿宋_GB2312" w:hAnsi="仿宋_GB2312" w:eastAsia="仿宋_GB2312"/>
          <w:sz w:val="32"/>
          <w:szCs w:val="32"/>
        </w:rPr>
      </w:pPr>
      <w:r>
        <w:rPr>
          <w:rFonts w:ascii="仿宋_GB2312" w:hAnsi="仿宋_GB2312" w:eastAsia="仿宋_GB2312"/>
          <w:sz w:val="32"/>
          <w:szCs w:val="32"/>
        </w:rPr>
        <w:t xml:space="preserve">                               （公章）</w:t>
      </w:r>
    </w:p>
    <w:p>
      <w:pPr>
        <w:snapToGrid w:val="0"/>
        <w:spacing w:line="480" w:lineRule="exact"/>
        <w:ind w:firstLine="5760"/>
      </w:pPr>
      <w:r>
        <w:rPr>
          <w:rFonts w:ascii="仿宋_GB2312" w:hAnsi="仿宋_GB2312" w:eastAsia="仿宋_GB2312"/>
          <w:sz w:val="32"/>
          <w:szCs w:val="32"/>
        </w:rPr>
        <w:t>2024年10月9日</w:t>
      </w:r>
    </w:p>
    <w:sectPr>
      <w:pgSz w:w="11906" w:h="16838"/>
      <w:pgMar w:top="1440" w:right="1800" w:bottom="1440" w:left="1800" w:header="0" w:footer="0" w:gutter="0"/>
      <w:pgNumType w:fmt="decimal"/>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等线">
    <w:altName w:val="微软雅黑"/>
    <w:panose1 w:val="00000000000000000000"/>
    <w:charset w:val="01"/>
    <w:family w:val="roman"/>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roman"/>
    <w:pitch w:val="default"/>
    <w:sig w:usb0="800002BF" w:usb1="38CF7CFA" w:usb2="00000016" w:usb3="00000000" w:csb0="00040001" w:csb1="00000000"/>
  </w:font>
  <w:font w:name="Liberation Sans">
    <w:altName w:val="Arial"/>
    <w:panose1 w:val="00000000000000000000"/>
    <w:charset w:val="01"/>
    <w:family w:val="swiss"/>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Lohit Devanagari">
    <w:altName w:val="Segoe Print"/>
    <w:panose1 w:val="00000000000000000000"/>
    <w:charset w:val="00"/>
    <w:family w:val="auto"/>
    <w:pitch w:val="default"/>
    <w:sig w:usb0="00000000" w:usb1="00000000" w:usb2="00000000" w:usb3="00000000" w:csb0="00000000" w:csb1="00000000"/>
  </w:font>
  <w:font w:name="方正小标宋简体">
    <w:panose1 w:val="03000509000000000000"/>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5A90A19"/>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iPriority="99" w:semiHidden="0"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bidi w:val="0"/>
      <w:jc w:val="both"/>
    </w:pPr>
    <w:rPr>
      <w:rFonts w:asciiTheme="minorHAnsi" w:hAnsiTheme="minorHAnsi" w:eastAsiaTheme="minorEastAsia" w:cstheme="minorBidi"/>
      <w:color w:val="auto"/>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caption"/>
    <w:basedOn w:val="1"/>
    <w:next w:val="1"/>
    <w:qFormat/>
    <w:uiPriority w:val="0"/>
    <w:pPr>
      <w:suppressLineNumbers/>
      <w:spacing w:before="120" w:after="120"/>
    </w:pPr>
    <w:rPr>
      <w:rFonts w:cs="Lohit Devanagari"/>
      <w:i/>
      <w:iCs/>
      <w:sz w:val="24"/>
      <w:szCs w:val="24"/>
    </w:rPr>
  </w:style>
  <w:style w:type="paragraph" w:styleId="3">
    <w:name w:val="Salutation"/>
    <w:basedOn w:val="1"/>
    <w:next w:val="1"/>
    <w:unhideWhenUsed/>
    <w:uiPriority w:val="99"/>
    <w:rPr>
      <w:rFonts w:ascii="仿宋" w:hAnsi="仿宋" w:eastAsia="仿宋"/>
      <w:sz w:val="30"/>
      <w:szCs w:val="30"/>
    </w:rPr>
  </w:style>
  <w:style w:type="paragraph" w:styleId="4">
    <w:name w:val="Closing"/>
    <w:basedOn w:val="1"/>
    <w:unhideWhenUsed/>
    <w:qFormat/>
    <w:uiPriority w:val="99"/>
    <w:pPr>
      <w:ind w:left="100" w:firstLine="0"/>
    </w:pPr>
    <w:rPr>
      <w:rFonts w:ascii="仿宋" w:hAnsi="仿宋" w:eastAsia="仿宋"/>
      <w:sz w:val="30"/>
      <w:szCs w:val="30"/>
    </w:rPr>
  </w:style>
  <w:style w:type="paragraph" w:styleId="5">
    <w:name w:val="Body Text"/>
    <w:basedOn w:val="1"/>
    <w:uiPriority w:val="0"/>
    <w:pPr>
      <w:spacing w:before="0" w:after="140" w:line="288" w:lineRule="auto"/>
    </w:pPr>
  </w:style>
  <w:style w:type="paragraph" w:styleId="6">
    <w:name w:val="footer"/>
    <w:basedOn w:val="1"/>
    <w:unhideWhenUsed/>
    <w:uiPriority w:val="99"/>
    <w:pPr>
      <w:tabs>
        <w:tab w:val="center" w:pos="4153"/>
        <w:tab w:val="right" w:pos="8306"/>
      </w:tabs>
      <w:snapToGrid w:val="0"/>
      <w:jc w:val="left"/>
    </w:pPr>
    <w:rPr>
      <w:sz w:val="18"/>
      <w:szCs w:val="18"/>
    </w:rPr>
  </w:style>
  <w:style w:type="paragraph" w:styleId="7">
    <w:name w:val="header"/>
    <w:basedOn w:val="1"/>
    <w:unhideWhenUsed/>
    <w:uiPriority w:val="99"/>
    <w:pPr>
      <w:pBdr>
        <w:bottom w:val="single" w:color="00000A" w:sz="6" w:space="1"/>
      </w:pBdr>
      <w:tabs>
        <w:tab w:val="center" w:pos="4153"/>
        <w:tab w:val="right" w:pos="8306"/>
      </w:tabs>
      <w:snapToGrid w:val="0"/>
      <w:jc w:val="center"/>
    </w:pPr>
    <w:rPr>
      <w:sz w:val="18"/>
      <w:szCs w:val="18"/>
    </w:rPr>
  </w:style>
  <w:style w:type="paragraph" w:styleId="8">
    <w:name w:val="List"/>
    <w:basedOn w:val="5"/>
    <w:uiPriority w:val="0"/>
    <w:rPr>
      <w:rFonts w:cs="Lohit Devanagari"/>
    </w:rPr>
  </w:style>
  <w:style w:type="table" w:styleId="10">
    <w:name w:val="Table Grid"/>
    <w:basedOn w:val="9"/>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qFormat/>
    <w:uiPriority w:val="99"/>
    <w:rPr>
      <w:sz w:val="18"/>
      <w:szCs w:val="18"/>
    </w:rPr>
  </w:style>
  <w:style w:type="character" w:customStyle="1" w:styleId="13">
    <w:name w:val="页脚 字符"/>
    <w:basedOn w:val="11"/>
    <w:qFormat/>
    <w:uiPriority w:val="99"/>
    <w:rPr>
      <w:sz w:val="18"/>
      <w:szCs w:val="18"/>
    </w:rPr>
  </w:style>
  <w:style w:type="character" w:customStyle="1" w:styleId="14">
    <w:name w:val="称呼 字符"/>
    <w:basedOn w:val="11"/>
    <w:qFormat/>
    <w:uiPriority w:val="99"/>
    <w:rPr>
      <w:rFonts w:ascii="仿宋" w:hAnsi="仿宋" w:eastAsia="仿宋"/>
      <w:sz w:val="30"/>
      <w:szCs w:val="30"/>
    </w:rPr>
  </w:style>
  <w:style w:type="character" w:customStyle="1" w:styleId="15">
    <w:name w:val="结束语 字符"/>
    <w:basedOn w:val="11"/>
    <w:qFormat/>
    <w:uiPriority w:val="99"/>
    <w:rPr>
      <w:rFonts w:ascii="仿宋" w:hAnsi="仿宋" w:eastAsia="仿宋"/>
      <w:sz w:val="30"/>
      <w:szCs w:val="30"/>
    </w:rPr>
  </w:style>
  <w:style w:type="paragraph" w:customStyle="1" w:styleId="16">
    <w:name w:val="Heading"/>
    <w:basedOn w:val="1"/>
    <w:next w:val="5"/>
    <w:qFormat/>
    <w:uiPriority w:val="0"/>
    <w:pPr>
      <w:keepNext/>
      <w:spacing w:before="240" w:after="120"/>
    </w:pPr>
    <w:rPr>
      <w:rFonts w:ascii="Liberation Sans" w:hAnsi="Liberation Sans" w:eastAsia="微软雅黑" w:cs="Lohit Devanagari"/>
      <w:sz w:val="28"/>
      <w:szCs w:val="28"/>
    </w:rPr>
  </w:style>
  <w:style w:type="paragraph" w:customStyle="1" w:styleId="17">
    <w:name w:val="Index"/>
    <w:basedOn w:val="1"/>
    <w:qFormat/>
    <w:uiPriority w:val="0"/>
    <w:pPr>
      <w:suppressLineNumbers/>
    </w:pPr>
    <w:rPr>
      <w:rFonts w:cs="Lohit Devanaga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Words>
  <Characters>190</Characters>
  <Paragraphs>1</Paragraphs>
  <TotalTime>92</TotalTime>
  <ScaleCrop>false</ScaleCrop>
  <LinksUpToDate>false</LinksUpToDate>
  <CharactersWithSpaces>222</CharactersWithSpaces>
  <Application>WPS Office_11.8.2.12011_F1E327BC-269C-435d-A152-05C5408002CA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2022-10-06T01:49:00Z</dcterms:created>
  <dc:creator>曾 三</dc:creator>
  <cp:lastModifiedBy>wps</cp:lastModifiedBy>
  <dcterms:modified xsi:type="dcterms:W3CDTF">2024-10-16T08:18:09Z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2052-11.8.2.12011</vt:lpwstr>
  </property>
  <property fmtid="{D5CDD505-2E9C-101B-9397-08002B2CF9AE}" pid="9" name="ICV">
    <vt:lpwstr>653B6ABC3685460690511E284E44CAC4</vt:lpwstr>
  </property>
</Properties>
</file>