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46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罪犯郭坤，男，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日生，汉族，小学文化贵州省清镇市人，现在贵州省黔南监狱服刑。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）筑刑一初字第</w:t>
      </w:r>
      <w:r>
        <w:rPr>
          <w:rFonts w:eastAsia="仿宋_GB2312" w:ascii="仿宋_GB2312" w:hAnsi="仿宋_GB2312"/>
          <w:sz w:val="32"/>
          <w:szCs w:val="32"/>
        </w:rPr>
        <w:t>166</w:t>
      </w:r>
      <w:r>
        <w:rPr>
          <w:rFonts w:ascii="仿宋_GB2312" w:hAnsi="仿宋_GB2312" w:eastAsia="仿宋_GB2312"/>
          <w:sz w:val="32"/>
          <w:szCs w:val="32"/>
        </w:rPr>
        <w:t>号刑事附带民事判决，认定郭坤犯抢劫罪，判处无期徒刑，剥夺政治权利终身，并处没收个人全部财产，附带民事赔偿费用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元，其中由郭坤赔偿</w:t>
      </w:r>
      <w:r>
        <w:rPr>
          <w:rFonts w:eastAsia="仿宋_GB2312" w:ascii="仿宋_GB2312" w:hAnsi="仿宋_GB2312"/>
          <w:sz w:val="32"/>
          <w:szCs w:val="32"/>
        </w:rPr>
        <w:t>17500</w:t>
      </w:r>
      <w:r>
        <w:rPr>
          <w:rFonts w:ascii="仿宋_GB2312" w:hAnsi="仿宋_GB2312" w:eastAsia="仿宋_GB2312"/>
          <w:sz w:val="32"/>
          <w:szCs w:val="32"/>
        </w:rPr>
        <w:t>元并承担连带赔偿责任。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日从贵州省未成年犯管教所调入贵州省桐州监狱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）黔刑执字第</w:t>
      </w:r>
      <w:r>
        <w:rPr>
          <w:rFonts w:eastAsia="仿宋_GB2312" w:ascii="仿宋_GB2312" w:hAnsi="仿宋_GB2312"/>
          <w:sz w:val="32"/>
          <w:szCs w:val="32"/>
        </w:rPr>
        <w:t>438</w:t>
      </w:r>
      <w:r>
        <w:rPr>
          <w:rFonts w:ascii="仿宋_GB2312" w:hAnsi="仿宋_GB2312" w:eastAsia="仿宋_GB2312"/>
          <w:sz w:val="32"/>
          <w:szCs w:val="32"/>
        </w:rPr>
        <w:t>号刑事裁定，将该犯减为有期徒刑十九年，剥夺政治权利改为八年；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）黔南刑执字第</w:t>
      </w:r>
      <w:r>
        <w:rPr>
          <w:rFonts w:eastAsia="仿宋_GB2312" w:ascii="仿宋_GB2312" w:hAnsi="仿宋_GB2312"/>
          <w:sz w:val="32"/>
          <w:szCs w:val="32"/>
        </w:rPr>
        <w:t>4321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号刑事裁定，对该犯减去有期徒刑六月，剥夺政治权利八年不变；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）黔南刑执字第</w:t>
      </w:r>
      <w:r>
        <w:rPr>
          <w:rFonts w:eastAsia="仿宋_GB2312" w:ascii="仿宋_GB2312" w:hAnsi="仿宋_GB2312"/>
          <w:sz w:val="32"/>
          <w:szCs w:val="32"/>
        </w:rPr>
        <w:t>382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号刑事裁定，对该犯减去有期徒刑一年零四个月，剥夺政治权利八年不变；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2123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号刑事裁定，对该犯减去有期徒刑七个月，剥夺政治权利八年不变；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915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号刑事裁定，对该犯减去有期徒刑六个月，剥夺政治权利八年不变；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133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号刑事裁定，对该犯减去有期徒刑六个月，剥夺政治权利八年不变。（现刑期自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二、遵守法律法规及监规方面：罪犯郭坤在服刑期间，认真遵守法律法规及监规纪律，服从管教。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四、劳动改造方面：现从事生产辅工岗位，能积极参加劳动，按时完成劳动任务，表现好。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五、履行财产性判项方面：没收个人全部财产；民事赔偿人民币</w:t>
      </w:r>
      <w:r>
        <w:rPr>
          <w:rFonts w:eastAsia="仿宋_GB2312" w:ascii="仿宋_GB2312" w:hAnsi="仿宋_GB2312"/>
          <w:sz w:val="32"/>
          <w:szCs w:val="32"/>
        </w:rPr>
        <w:t>17500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从严情形：犯抢劫罪被判无期徒刑；因抢劫致人死亡的犯罪情节。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经审查，我院认为，罪犯郭坤符合提请减刑条件。未发现提请减刑建议不当，同意将案件交监狱长办公会审核。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综上所述，罪犯郭坤自上次裁定减刑以来，能认真遵守监规，接受教育改造，确有悔改表现。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坤提请减去有期徒刑的剩余刑期，剥夺政治权利八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