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贵州省黔南监狱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(2025)</w:t>
      </w:r>
      <w:r>
        <w:rPr>
          <w:rFonts w:ascii="仿宋_GB2312" w:hAnsi="仿宋_GB2312" w:eastAsia="仿宋_GB2312"/>
          <w:sz w:val="32"/>
          <w:szCs w:val="32"/>
        </w:rPr>
        <w:t>黔南提减字第</w:t>
      </w:r>
      <w:r>
        <w:rPr>
          <w:rFonts w:eastAsia="仿宋_GB2312" w:ascii="仿宋_GB2312" w:hAnsi="仿宋_GB2312"/>
          <w:sz w:val="32"/>
          <w:szCs w:val="32"/>
        </w:rPr>
        <w:t>61</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罪犯石斌，男，</w:t>
      </w:r>
      <w:r>
        <w:rPr>
          <w:rFonts w:eastAsia="仿宋_GB2312" w:ascii="仿宋_GB2312" w:hAnsi="仿宋_GB2312"/>
          <w:sz w:val="32"/>
          <w:szCs w:val="32"/>
        </w:rPr>
        <w:t>1986</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10</w:t>
      </w:r>
      <w:r>
        <w:rPr>
          <w:rFonts w:ascii="仿宋_GB2312" w:hAnsi="仿宋_GB2312" w:eastAsia="仿宋_GB2312"/>
          <w:sz w:val="32"/>
          <w:szCs w:val="32"/>
        </w:rPr>
        <w:t>日生，汉族，高中文化贵州省仁怀市人，现在贵州省黔南监狱服刑。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9</w:t>
      </w:r>
      <w:r>
        <w:rPr>
          <w:rFonts w:ascii="仿宋_GB2312" w:hAnsi="仿宋_GB2312" w:eastAsia="仿宋_GB2312"/>
          <w:sz w:val="32"/>
          <w:szCs w:val="32"/>
        </w:rPr>
        <w:t>日，贵州省仁怀市人民法院作出（</w:t>
      </w:r>
      <w:r>
        <w:rPr>
          <w:rFonts w:eastAsia="仿宋_GB2312" w:ascii="仿宋_GB2312" w:hAnsi="仿宋_GB2312"/>
          <w:sz w:val="32"/>
          <w:szCs w:val="32"/>
        </w:rPr>
        <w:t>2022</w:t>
      </w:r>
      <w:r>
        <w:rPr>
          <w:rFonts w:ascii="仿宋_GB2312" w:hAnsi="仿宋_GB2312" w:eastAsia="仿宋_GB2312"/>
          <w:sz w:val="32"/>
          <w:szCs w:val="32"/>
        </w:rPr>
        <w:t>）黔</w:t>
      </w:r>
      <w:r>
        <w:rPr>
          <w:rFonts w:eastAsia="仿宋_GB2312" w:ascii="仿宋_GB2312" w:hAnsi="仿宋_GB2312"/>
          <w:sz w:val="32"/>
          <w:szCs w:val="32"/>
        </w:rPr>
        <w:t>0382</w:t>
      </w:r>
      <w:r>
        <w:rPr>
          <w:rFonts w:ascii="仿宋_GB2312" w:hAnsi="仿宋_GB2312" w:eastAsia="仿宋_GB2312"/>
          <w:sz w:val="32"/>
          <w:szCs w:val="32"/>
        </w:rPr>
        <w:t>刑初</w:t>
      </w:r>
      <w:r>
        <w:rPr>
          <w:rFonts w:eastAsia="仿宋_GB2312" w:ascii="仿宋_GB2312" w:hAnsi="仿宋_GB2312"/>
          <w:sz w:val="32"/>
          <w:szCs w:val="32"/>
        </w:rPr>
        <w:t>362</w:t>
      </w:r>
      <w:r>
        <w:rPr>
          <w:rFonts w:ascii="仿宋_GB2312" w:hAnsi="仿宋_GB2312" w:eastAsia="仿宋_GB2312"/>
          <w:sz w:val="32"/>
          <w:szCs w:val="32"/>
        </w:rPr>
        <w:t>号刑事判决，认定石斌犯交通肇事罪，判处有期徒刑四年（刑期自</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18</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17</w:t>
      </w:r>
      <w:r>
        <w:rPr>
          <w:rFonts w:ascii="仿宋_GB2312" w:hAnsi="仿宋_GB2312" w:eastAsia="仿宋_GB2312"/>
          <w:sz w:val="32"/>
          <w:szCs w:val="32"/>
        </w:rPr>
        <w:t>日止）。</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6</w:t>
      </w:r>
      <w:r>
        <w:rPr>
          <w:rFonts w:ascii="仿宋_GB2312" w:hAnsi="仿宋_GB2312" w:eastAsia="仿宋_GB2312"/>
          <w:sz w:val="32"/>
          <w:szCs w:val="32"/>
        </w:rPr>
        <w:t>日，贵州省仁怀市人民法院作出（</w:t>
      </w:r>
      <w:r>
        <w:rPr>
          <w:rFonts w:eastAsia="仿宋_GB2312" w:ascii="仿宋_GB2312" w:hAnsi="仿宋_GB2312"/>
          <w:sz w:val="32"/>
          <w:szCs w:val="32"/>
        </w:rPr>
        <w:t>2023</w:t>
      </w:r>
      <w:r>
        <w:rPr>
          <w:rFonts w:ascii="仿宋_GB2312" w:hAnsi="仿宋_GB2312" w:eastAsia="仿宋_GB2312"/>
          <w:sz w:val="32"/>
          <w:szCs w:val="32"/>
        </w:rPr>
        <w:t>）黔</w:t>
      </w:r>
      <w:r>
        <w:rPr>
          <w:rFonts w:eastAsia="仿宋_GB2312" w:ascii="仿宋_GB2312" w:hAnsi="仿宋_GB2312"/>
          <w:sz w:val="32"/>
          <w:szCs w:val="32"/>
        </w:rPr>
        <w:t>0382</w:t>
      </w:r>
      <w:r>
        <w:rPr>
          <w:rFonts w:ascii="仿宋_GB2312" w:hAnsi="仿宋_GB2312" w:eastAsia="仿宋_GB2312"/>
          <w:sz w:val="32"/>
          <w:szCs w:val="32"/>
        </w:rPr>
        <w:t>民初</w:t>
      </w:r>
      <w:r>
        <w:rPr>
          <w:rFonts w:eastAsia="仿宋_GB2312" w:ascii="仿宋_GB2312" w:hAnsi="仿宋_GB2312"/>
          <w:sz w:val="32"/>
          <w:szCs w:val="32"/>
        </w:rPr>
        <w:t>6830</w:t>
      </w:r>
      <w:r>
        <w:rPr>
          <w:rFonts w:ascii="仿宋_GB2312" w:hAnsi="仿宋_GB2312" w:eastAsia="仿宋_GB2312"/>
          <w:sz w:val="32"/>
          <w:szCs w:val="32"/>
        </w:rPr>
        <w:t>号民事判决，判处被告石斌于判决生效之日起十五日内赔偿被害人家属损失人民币</w:t>
      </w:r>
      <w:r>
        <w:rPr>
          <w:rFonts w:eastAsia="仿宋_GB2312" w:ascii="仿宋_GB2312" w:hAnsi="仿宋_GB2312"/>
          <w:sz w:val="32"/>
          <w:szCs w:val="32"/>
        </w:rPr>
        <w:t>638834</w:t>
      </w:r>
      <w:r>
        <w:rPr>
          <w:rFonts w:ascii="仿宋_GB2312" w:hAnsi="仿宋_GB2312" w:eastAsia="仿宋_GB2312"/>
          <w:sz w:val="32"/>
          <w:szCs w:val="32"/>
        </w:rPr>
        <w:t>元。</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16</w:t>
      </w:r>
      <w:r>
        <w:rPr>
          <w:rFonts w:ascii="仿宋_GB2312" w:hAnsi="仿宋_GB2312" w:eastAsia="仿宋_GB2312"/>
          <w:sz w:val="32"/>
          <w:szCs w:val="32"/>
        </w:rPr>
        <w:t>日交付执行，</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11</w:t>
      </w:r>
      <w:r>
        <w:rPr>
          <w:rFonts w:ascii="仿宋_GB2312" w:hAnsi="仿宋_GB2312" w:eastAsia="仿宋_GB2312"/>
          <w:sz w:val="32"/>
          <w:szCs w:val="32"/>
        </w:rPr>
        <w:t>日从贵州省忠庄监狱调入贵州省瓮安监狱（现贵州省黔南监狱）服刑。</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一、认罪悔罪方面：罪犯石斌在服刑期间，能服从法院判决，认罪悔罪。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二、遵守法律法规及监规方面：罪犯石斌在服刑期间，基本遵守法律法规及监规纪律，服从管教。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四、劳动改造方面：能积极参加劳动，被扣分</w:t>
      </w:r>
      <w:r>
        <w:rPr>
          <w:rFonts w:eastAsia="仿宋_GB2312" w:ascii="仿宋_GB2312" w:hAnsi="仿宋_GB2312"/>
          <w:sz w:val="32"/>
          <w:szCs w:val="32"/>
        </w:rPr>
        <w:t>1</w:t>
      </w:r>
      <w:r>
        <w:rPr>
          <w:rFonts w:ascii="仿宋_GB2312" w:hAnsi="仿宋_GB2312" w:eastAsia="仿宋_GB2312"/>
          <w:sz w:val="32"/>
          <w:szCs w:val="32"/>
        </w:rPr>
        <w:t>次，经警官教育后，基本完成劳动任务，表现较好。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w:t>
      </w:r>
      <w:r>
        <w:rPr>
          <w:rFonts w:eastAsia="仿宋_GB2312" w:ascii="仿宋_GB2312" w:hAnsi="仿宋_GB2312"/>
          <w:sz w:val="32"/>
          <w:szCs w:val="32"/>
        </w:rPr>
        <w:t>638834</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未履行</w:t>
      </w:r>
      <w:r>
        <w:rPr>
          <w:rFonts w:eastAsia="仿宋_GB2312" w:ascii="仿宋_GB2312" w:hAnsi="仿宋_GB2312"/>
          <w:sz w:val="32"/>
          <w:szCs w:val="32"/>
        </w:rPr>
        <w:t>)</w:t>
      </w:r>
      <w:r>
        <w:rPr>
          <w:rFonts w:ascii="仿宋_GB2312" w:hAnsi="仿宋_GB2312" w:eastAsia="仿宋_GB2312"/>
          <w:sz w:val="32"/>
          <w:szCs w:val="32"/>
        </w:rPr>
        <w:t>。</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月获物质奖励</w:t>
      </w:r>
      <w:r>
        <w:rPr>
          <w:rFonts w:eastAsia="仿宋_GB2312" w:ascii="仿宋_GB2312" w:hAnsi="仿宋_GB2312"/>
          <w:sz w:val="32"/>
          <w:szCs w:val="32"/>
        </w:rPr>
        <w:t>1</w:t>
      </w:r>
      <w:r>
        <w:rPr>
          <w:rFonts w:ascii="仿宋_GB2312" w:hAnsi="仿宋_GB2312" w:eastAsia="仿宋_GB2312"/>
          <w:sz w:val="32"/>
          <w:szCs w:val="32"/>
        </w:rPr>
        <w:t>次；</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3</w:t>
      </w:r>
      <w:r>
        <w:rPr>
          <w:rFonts w:ascii="仿宋_GB2312" w:hAnsi="仿宋_GB2312" w:eastAsia="仿宋_GB2312"/>
          <w:sz w:val="32"/>
          <w:szCs w:val="32"/>
        </w:rPr>
        <w:t>个表扬、</w:t>
      </w:r>
      <w:r>
        <w:rPr>
          <w:rFonts w:eastAsia="仿宋_GB2312" w:ascii="仿宋_GB2312" w:hAnsi="仿宋_GB2312"/>
          <w:sz w:val="32"/>
          <w:szCs w:val="32"/>
        </w:rPr>
        <w:t>1</w:t>
      </w:r>
      <w:r>
        <w:rPr>
          <w:rFonts w:ascii="仿宋_GB2312" w:hAnsi="仿宋_GB2312" w:eastAsia="仿宋_GB2312"/>
          <w:sz w:val="32"/>
          <w:szCs w:val="32"/>
        </w:rPr>
        <w:t>个物质奖励。</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扣分及违规情况：</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28</w:t>
      </w:r>
      <w:r>
        <w:rPr>
          <w:rFonts w:ascii="仿宋_GB2312" w:hAnsi="仿宋_GB2312" w:eastAsia="仿宋_GB2312"/>
          <w:sz w:val="32"/>
          <w:szCs w:val="32"/>
        </w:rPr>
        <w:t>日该犯</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02</w:t>
      </w:r>
      <w:r>
        <w:rPr>
          <w:rFonts w:ascii="仿宋_GB2312" w:hAnsi="仿宋_GB2312" w:eastAsia="仿宋_GB2312"/>
          <w:sz w:val="32"/>
          <w:szCs w:val="32"/>
        </w:rPr>
        <w:t>月劳动定额</w:t>
      </w:r>
      <w:r>
        <w:rPr>
          <w:rFonts w:eastAsia="仿宋_GB2312" w:ascii="仿宋_GB2312" w:hAnsi="仿宋_GB2312"/>
          <w:sz w:val="32"/>
          <w:szCs w:val="32"/>
        </w:rPr>
        <w:t>24000</w:t>
      </w:r>
      <w:r>
        <w:rPr>
          <w:rFonts w:ascii="仿宋_GB2312" w:hAnsi="仿宋_GB2312" w:eastAsia="仿宋_GB2312"/>
          <w:sz w:val="32"/>
          <w:szCs w:val="32"/>
        </w:rPr>
        <w:t>，完成</w:t>
      </w:r>
      <w:r>
        <w:rPr>
          <w:rFonts w:eastAsia="仿宋_GB2312" w:ascii="仿宋_GB2312" w:hAnsi="仿宋_GB2312"/>
          <w:sz w:val="32"/>
          <w:szCs w:val="32"/>
        </w:rPr>
        <w:t>18723</w:t>
      </w:r>
      <w:r>
        <w:rPr>
          <w:rFonts w:ascii="仿宋_GB2312" w:hAnsi="仿宋_GB2312" w:eastAsia="仿宋_GB2312"/>
          <w:sz w:val="32"/>
          <w:szCs w:val="32"/>
        </w:rPr>
        <w:t>，未完成劳动定额</w:t>
      </w:r>
      <w:r>
        <w:rPr>
          <w:rFonts w:eastAsia="仿宋_GB2312" w:ascii="仿宋_GB2312" w:hAnsi="仿宋_GB2312"/>
          <w:sz w:val="32"/>
          <w:szCs w:val="32"/>
        </w:rPr>
        <w:t>21.98%</w:t>
      </w:r>
      <w:r>
        <w:rPr>
          <w:rFonts w:ascii="仿宋_GB2312" w:hAnsi="仿宋_GB2312" w:eastAsia="仿宋_GB2312"/>
          <w:sz w:val="32"/>
          <w:szCs w:val="32"/>
        </w:rPr>
        <w:t>扣分</w:t>
      </w:r>
      <w:r>
        <w:rPr>
          <w:rFonts w:eastAsia="仿宋_GB2312" w:ascii="仿宋_GB2312" w:hAnsi="仿宋_GB2312"/>
          <w:sz w:val="32"/>
          <w:szCs w:val="32"/>
        </w:rPr>
        <w:t>6.59</w:t>
      </w:r>
      <w:r>
        <w:rPr>
          <w:rFonts w:ascii="仿宋_GB2312" w:hAnsi="仿宋_GB2312" w:eastAsia="仿宋_GB2312"/>
          <w:sz w:val="32"/>
          <w:szCs w:val="32"/>
        </w:rPr>
        <w:t>分。</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从严情形：民事赔偿人民币</w:t>
      </w:r>
      <w:r>
        <w:rPr>
          <w:rFonts w:eastAsia="仿宋_GB2312" w:ascii="仿宋_GB2312" w:hAnsi="仿宋_GB2312"/>
          <w:sz w:val="32"/>
          <w:szCs w:val="32"/>
        </w:rPr>
        <w:t>638834</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未履行</w:t>
      </w:r>
      <w:r>
        <w:rPr>
          <w:rFonts w:eastAsia="仿宋_GB2312" w:ascii="仿宋_GB2312" w:hAnsi="仿宋_GB2312"/>
          <w:sz w:val="32"/>
          <w:szCs w:val="32"/>
        </w:rPr>
        <w:t>)</w:t>
      </w:r>
      <w:r>
        <w:rPr>
          <w:rFonts w:ascii="仿宋_GB2312" w:hAnsi="仿宋_GB2312" w:eastAsia="仿宋_GB2312"/>
          <w:sz w:val="32"/>
          <w:szCs w:val="32"/>
        </w:rPr>
        <w:t>。</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经审查，我院认为，罪犯石斌符合提请减刑条件。未发现提请减刑建议不当，同意将案件交监狱长办公会审核。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综上所述，罪犯石斌在服刑改造期间，能认真遵守监规，接受教育改造，确有悔改表现。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石斌提请减去有期徒刑七个月，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黔南布依族苗族自治州中级人民法院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15</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7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34</Words>
  <Characters>200</Characters>
  <CharactersWithSpaces>233</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2025-08-22T09:14:00Z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