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62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罪犯苏寸桃，男，</w:t>
      </w:r>
      <w:r>
        <w:rPr>
          <w:rFonts w:eastAsia="仿宋_GB2312" w:ascii="仿宋_GB2312" w:hAnsi="仿宋_GB2312"/>
          <w:sz w:val="32"/>
          <w:szCs w:val="32"/>
        </w:rPr>
        <w:t>2004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27</w:t>
      </w:r>
      <w:r>
        <w:rPr>
          <w:rFonts w:ascii="仿宋_GB2312" w:hAnsi="仿宋_GB2312" w:eastAsia="仿宋_GB2312"/>
          <w:sz w:val="32"/>
          <w:szCs w:val="32"/>
        </w:rPr>
        <w:t>日生，汉族，初中文化贵州省桐梓县人，现在贵州省黔南监狱服刑。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日，贵州省桐梓县人民法院作出（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140</w:t>
      </w:r>
      <w:r>
        <w:rPr>
          <w:rFonts w:ascii="仿宋_GB2312" w:hAnsi="仿宋_GB2312" w:eastAsia="仿宋_GB2312"/>
          <w:sz w:val="32"/>
          <w:szCs w:val="32"/>
        </w:rPr>
        <w:t>号刑事判决，认定苏寸桃犯抢劫罪，判处有期徒刑三年（刑期自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6000.00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19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日从贵州省忠庄监狱调入贵州省瓮安监狱（现贵州省黔南监狱）服刑。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一、认罪悔罪方面：罪犯苏寸桃在服刑期间，能服从法院判决，认罪悔罪。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二、遵守法律法规及监规方面：罪犯苏寸桃在服刑期间，认真遵守法律法规及监规纪律，服从管教。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扣分及违规情况：无。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6000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：罪犯苏寸桃符合提请减刑条件，但提请减刑建议幅度不当，理由是：罪犯苏寸桃犯抢劫罪，犯罪性质严重，社会危害性高，财产性判项未履行完毕。依照《中华人民共和国刑法》第七十八条、《最高人民法院关于办理减刑、假释案件具体应用法律的规定》第二条、第三条、第六条之规定，建议其减刑幅度从严掌握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综上所述，罪犯苏寸桃在服刑改造期间，能认真遵守监规，接受教育改造，确有悔改表现。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苏寸桃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