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贵州省黔南监狱</w:t>
      </w:r>
    </w:p>
    <w:p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(2025)黔南监提假字第22号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罪犯王祥玉，男，1995年6月2日生，汉族，中专文化贵州省绥阳县人，现在贵州省黔南监狱服刑。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8月30日，贵州省绥阳县人民法院作出（2024）黔0323刑初214号刑事判决，王祥玉犯诈骗罪，判处有期徒刑一年八个月，并处罚金人民币三千元；犯偷越国（边）境罪，判处拘役五个月，并处罚金人民币二千元；数罪并罚，决定执行有期徒刑一年八个月，并处罚金人民币五千元，追缴违法所得8,000元（刑期自2024年8月30日起至2026年4月26日止）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判决发生法律效力后2024年9月25日交付执行，2024年10月22日从贵州省黔北监狱调入贵州省桐州监狱（现贵州省黔南监狱）服刑。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一、认罪悔罪方面：罪犯王祥玉在服刑期间，能服从法院判决，认罪悔罪。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二、遵守法律法规及监规方面：罪犯王祥玉在服刑期间，认真遵守法律法规及监规纪律，服从管教。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四、劳动改造方面:主要从事服装平机岗位，能积极参加劳动，按时完成劳动任务，表现好。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五、履行财产性判项方面：罚金人民币5000元(已全部缴纳)；追缴违法所得人民币8000元(已全部缴纳)。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六、考核奖励情况：2024年9月至2025年5月获1个表扬；共获得1个表扬。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检察机关审查意见:罪犯王祥玉符合提请假释条件。未发现提请假释建议不当，同意将案件交监狱长办公会审核。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综上所述，罪犯王祥玉在服刑改造期间，能认真遵守监规，接受教育改造，确有悔改表现。社区矫正机关同意适用社区矫正，监狱经综合评估预测该犯没有再犯罪危险。</w:t>
      </w:r>
    </w:p>
    <w:p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第二百七十三条第二款和《中华人民共和国监狱法》第三十二条之规定，建议对罪犯王祥玉提请假释。特提请裁定。</w:t>
      </w:r>
    </w:p>
    <w:p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黔南布依族苗族自治州中级人民法院</w:t>
      </w:r>
    </w:p>
    <w:p>
      <w:pPr>
        <w:spacing w:line="560" w:lineRule="exact"/>
      </w:pPr>
      <w:bookmarkStart w:id="0" w:name="_GoBack"/>
      <w:bookmarkEnd w:id="0"/>
    </w:p>
    <w:p>
      <w:pPr>
        <w:spacing w:line="560" w:lineRule="exact"/>
      </w:pPr>
    </w:p>
    <w:p>
      <w:pPr>
        <w:spacing w:line="560" w:lineRule="exact"/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2025年10月23日</w:t>
      </w:r>
    </w:p>
    <w:p>
      <w:pPr>
        <w:spacing w:line="560" w:lineRule="exact"/>
      </w:pP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528E2C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uiPriority w:val="0"/>
    <w:rPr>
      <w:rFonts w:cs="WenQuanYi Zen Hei"/>
    </w:rPr>
  </w:style>
  <w:style w:type="table" w:styleId="10">
    <w:name w:val="Table Grid"/>
    <w:basedOn w:val="9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33</Words>
  <Characters>192</Characters>
  <Paragraphs>1</Paragraphs>
  <TotalTime>33</TotalTime>
  <ScaleCrop>false</ScaleCrop>
  <LinksUpToDate>false</LinksUpToDate>
  <CharactersWithSpaces>224</CharactersWithSpaces>
  <Application>WPS Office_11.8.2.9067_F1E327BC-269C-435d-A152-05C5408002CA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Administrator</cp:lastModifiedBy>
  <dcterms:modified xsi:type="dcterms:W3CDTF">2025-11-13T08:55:53Z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