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罪犯刘仲海，男，</w:t>
      </w:r>
      <w:r>
        <w:rPr>
          <w:rFonts w:eastAsia="仿宋_GB2312" w:ascii="仿宋_GB2312" w:hAnsi="仿宋_GB2312"/>
          <w:sz w:val="32"/>
          <w:szCs w:val="32"/>
        </w:rPr>
        <w:t>1995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日生，汉族，初中文化贵州省罗甸县人，现在贵州省黔南监狱服刑。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日，贵州省罗甸县人民法院作出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63</w:t>
      </w:r>
      <w:r>
        <w:rPr>
          <w:rFonts w:ascii="仿宋_GB2312" w:hAnsi="仿宋_GB2312" w:eastAsia="仿宋_GB2312"/>
          <w:sz w:val="32"/>
          <w:szCs w:val="32"/>
        </w:rPr>
        <w:t>号刑事判决，认定刘仲海犯交通肇事罪，判处有期徒刑一年十个月（刑期自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日，贵州省罗甸县人民法院作出（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2728</w:t>
      </w:r>
      <w:r>
        <w:rPr>
          <w:rFonts w:ascii="仿宋_GB2312" w:hAnsi="仿宋_GB2312" w:eastAsia="仿宋_GB2312"/>
          <w:sz w:val="32"/>
          <w:szCs w:val="32"/>
        </w:rPr>
        <w:t>民初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号民事判决书，判处刘仲海赔偿原告死亡赔偿金、丧葬费、精神损害抚慰金、被扶养人生活费共计人民币贰拾贰万伍仟捌佰参拾贰元贰角（￥</w:t>
      </w:r>
      <w:r>
        <w:rPr>
          <w:rFonts w:eastAsia="仿宋_GB2312" w:ascii="仿宋_GB2312" w:hAnsi="仿宋_GB2312"/>
          <w:sz w:val="32"/>
          <w:szCs w:val="32"/>
        </w:rPr>
        <w:t>225832.20</w:t>
      </w:r>
      <w:r>
        <w:rPr>
          <w:rFonts w:ascii="仿宋_GB2312" w:hAnsi="仿宋_GB2312" w:eastAsia="仿宋_GB2312"/>
          <w:sz w:val="32"/>
          <w:szCs w:val="32"/>
        </w:rPr>
        <w:t>），负担案件受理费人民币</w:t>
      </w:r>
      <w:r>
        <w:rPr>
          <w:rFonts w:eastAsia="仿宋_GB2312" w:ascii="仿宋_GB2312" w:hAnsi="仿宋_GB2312"/>
          <w:sz w:val="32"/>
          <w:szCs w:val="32"/>
        </w:rPr>
        <w:t>1195.00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日，贵州省罗甸县人民法院作出（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2728</w:t>
      </w:r>
      <w:r>
        <w:rPr>
          <w:rFonts w:ascii="仿宋_GB2312" w:hAnsi="仿宋_GB2312" w:eastAsia="仿宋_GB2312"/>
          <w:sz w:val="32"/>
          <w:szCs w:val="32"/>
        </w:rPr>
        <w:t>民初</w:t>
      </w:r>
      <w:r>
        <w:rPr>
          <w:rFonts w:eastAsia="仿宋_GB2312" w:ascii="仿宋_GB2312" w:hAnsi="仿宋_GB2312"/>
          <w:sz w:val="32"/>
          <w:szCs w:val="32"/>
        </w:rPr>
        <w:t>322</w:t>
      </w:r>
      <w:r>
        <w:rPr>
          <w:rFonts w:ascii="仿宋_GB2312" w:hAnsi="仿宋_GB2312" w:eastAsia="仿宋_GB2312"/>
          <w:sz w:val="32"/>
          <w:szCs w:val="32"/>
        </w:rPr>
        <w:t>号民事判决，判处刘仲海赔偿原告死亡赔偿金、丧葬费、医疗费、精神损害抚慰金、被扶养人生活费等共计人民币贰拾柒万捌仟伍佰壹拾元贰角捌分（￥</w:t>
      </w:r>
      <w:r>
        <w:rPr>
          <w:rFonts w:eastAsia="仿宋_GB2312" w:ascii="仿宋_GB2312" w:hAnsi="仿宋_GB2312"/>
          <w:sz w:val="32"/>
          <w:szCs w:val="32"/>
        </w:rPr>
        <w:t>278510.28</w:t>
      </w:r>
      <w:r>
        <w:rPr>
          <w:rFonts w:ascii="仿宋_GB2312" w:hAnsi="仿宋_GB2312" w:eastAsia="仿宋_GB2312"/>
          <w:sz w:val="32"/>
          <w:szCs w:val="32"/>
        </w:rPr>
        <w:t>），案件受理费人民币</w:t>
      </w:r>
      <w:r>
        <w:rPr>
          <w:rFonts w:eastAsia="仿宋_GB2312" w:ascii="仿宋_GB2312" w:hAnsi="仿宋_GB2312"/>
          <w:sz w:val="32"/>
          <w:szCs w:val="32"/>
        </w:rPr>
        <w:t>1434.00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日从贵州省北斗山监狱调入贵州省桐州监狱（现贵州省黔南监狱）服刑。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一、认罪悔罪方面：罪犯刘仲海在服刑期间，能服从法院判决，认罪悔罪。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二、遵守法律法规及监规方面：罪犯刘仲海在服刑期间，认真遵守法律法规及监规纪律，服从管教。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四、劳动改造方面：现从事值守事务岗位，能积极参加劳动，按时完成劳动任务，表现好。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五、履行财产性判项方面：附带民事赔偿</w:t>
      </w:r>
      <w:r>
        <w:rPr>
          <w:rFonts w:eastAsia="仿宋_GB2312" w:ascii="仿宋_GB2312" w:hAnsi="仿宋_GB2312"/>
          <w:sz w:val="32"/>
          <w:szCs w:val="32"/>
        </w:rPr>
        <w:t>504342.48</w:t>
      </w:r>
      <w:r>
        <w:rPr>
          <w:rFonts w:ascii="仿宋_GB2312" w:hAnsi="仿宋_GB2312" w:eastAsia="仿宋_GB2312"/>
          <w:sz w:val="32"/>
          <w:szCs w:val="32"/>
        </w:rPr>
        <w:t>元（未履行），民事诉讼费</w:t>
      </w:r>
      <w:r>
        <w:rPr>
          <w:rFonts w:eastAsia="仿宋_GB2312" w:ascii="仿宋_GB2312" w:hAnsi="仿宋_GB2312"/>
          <w:sz w:val="32"/>
          <w:szCs w:val="32"/>
        </w:rPr>
        <w:t>2629</w:t>
      </w:r>
      <w:r>
        <w:rPr>
          <w:rFonts w:ascii="仿宋_GB2312" w:hAnsi="仿宋_GB2312" w:eastAsia="仿宋_GB2312"/>
          <w:sz w:val="32"/>
          <w:szCs w:val="32"/>
        </w:rPr>
        <w:t>元（未履行）。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刘仲海符合提请减刑条件，但提请减刑建议幅度不当，理由是：罪犯刘仲海犯交通肇事罪，犯罪性质严重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综上所述，罪犯刘仲海在服刑改造期间，能认真遵守监规，接受教育改造，确有悔改表现。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仲海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