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77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罪犯石庆林，男，</w:t>
      </w:r>
      <w:r>
        <w:rPr>
          <w:rFonts w:eastAsia="仿宋_GB2312" w:ascii="仿宋_GB2312" w:hAnsi="仿宋_GB2312"/>
          <w:sz w:val="32"/>
          <w:szCs w:val="32"/>
        </w:rPr>
        <w:t>1993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日生，侗族，初中文化贵州省黎平县人，现在贵州省黔南监狱服刑。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日，贵州省黎平县人民法院作出（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2631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420</w:t>
      </w:r>
      <w:r>
        <w:rPr>
          <w:rFonts w:ascii="仿宋_GB2312" w:hAnsi="仿宋_GB2312" w:eastAsia="仿宋_GB2312"/>
          <w:sz w:val="32"/>
          <w:szCs w:val="32"/>
        </w:rPr>
        <w:t>号刑事判决，认定石庆林犯容留、介绍卖淫罪，判处有期徒刑二年六个月，并处罚金人民币</w:t>
      </w:r>
      <w:r>
        <w:rPr>
          <w:rFonts w:eastAsia="仿宋_GB2312" w:ascii="仿宋_GB2312" w:hAnsi="仿宋_GB2312"/>
          <w:sz w:val="32"/>
          <w:szCs w:val="32"/>
        </w:rPr>
        <w:t>20000.00</w:t>
      </w:r>
      <w:r>
        <w:rPr>
          <w:rFonts w:ascii="仿宋_GB2312" w:hAnsi="仿宋_GB2312" w:eastAsia="仿宋_GB2312"/>
          <w:sz w:val="32"/>
          <w:szCs w:val="32"/>
        </w:rPr>
        <w:t>元，追缴违法所得</w:t>
      </w:r>
      <w:r>
        <w:rPr>
          <w:rFonts w:eastAsia="仿宋_GB2312" w:ascii="仿宋_GB2312" w:hAnsi="仿宋_GB2312"/>
          <w:sz w:val="32"/>
          <w:szCs w:val="32"/>
        </w:rPr>
        <w:t>3745</w:t>
      </w:r>
      <w:r>
        <w:rPr>
          <w:rFonts w:ascii="仿宋_GB2312" w:hAnsi="仿宋_GB2312" w:eastAsia="仿宋_GB2312"/>
          <w:sz w:val="32"/>
          <w:szCs w:val="32"/>
        </w:rPr>
        <w:t>元（刑期自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日从贵州省黔东南监狱调入贵州省桐州监狱（现黔南监狱）服刑。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一、认罪悔罪方面：罪犯石庆林在服刑期间，能服从法院判决，认罪悔罪。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二、遵守法律法规及监规方面：罪犯石庆林在服刑期间，认真遵守法律法规及监规纪律，服从管教。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四、劳动改造方面：现从事修废岗位，能积极参加劳动，按时完成劳动任务，表现好。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3745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罪犯石庆林符合提请减刑条件。未发现提请减刑建议不当，同意将案件交监狱长办公会审核。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综上所述，罪犯石庆林在服刑改造期间，能认真遵守监规，接受教育改造，确有悔改表现。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石庆林提请减去有期徒刑的剩余刑期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