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78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罪犯葛见，男，</w:t>
      </w:r>
      <w:r>
        <w:rPr>
          <w:rFonts w:eastAsia="仿宋_GB2312" w:ascii="仿宋_GB2312" w:hAnsi="仿宋_GB2312"/>
          <w:sz w:val="32"/>
          <w:szCs w:val="32"/>
        </w:rPr>
        <w:t>1973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日生，汉族，初中文化安徽省太和县人，现在贵州省黔南监狱服刑。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日，贵州省施秉县人民法院作出（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2623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42</w:t>
      </w:r>
      <w:r>
        <w:rPr>
          <w:rFonts w:ascii="仿宋_GB2312" w:hAnsi="仿宋_GB2312" w:eastAsia="仿宋_GB2312"/>
          <w:sz w:val="32"/>
          <w:szCs w:val="32"/>
        </w:rPr>
        <w:t>号刑事判决，认定葛见犯非法经营罪，判处有期徒刑三年二个月，并处罚金人民币</w:t>
      </w:r>
      <w:r>
        <w:rPr>
          <w:rFonts w:eastAsia="仿宋_GB2312" w:ascii="仿宋_GB2312" w:hAnsi="仿宋_GB2312"/>
          <w:sz w:val="32"/>
          <w:szCs w:val="32"/>
        </w:rPr>
        <w:t>280000.00</w:t>
      </w:r>
      <w:r>
        <w:rPr>
          <w:rFonts w:ascii="仿宋_GB2312" w:hAnsi="仿宋_GB2312" w:eastAsia="仿宋_GB2312"/>
          <w:sz w:val="32"/>
          <w:szCs w:val="32"/>
        </w:rPr>
        <w:t>元，共同追缴违法所得</w:t>
      </w:r>
      <w:r>
        <w:rPr>
          <w:rFonts w:eastAsia="仿宋_GB2312" w:ascii="仿宋_GB2312" w:hAnsi="仿宋_GB2312"/>
          <w:sz w:val="32"/>
          <w:szCs w:val="32"/>
        </w:rPr>
        <w:t>124401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日，贵州省黔东南苗族侗族自治州中级人民法院作出（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160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日从贵州省黔东南监狱调入贵州省桐州监狱（现黔南监狱）服刑。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一、认罪悔罪方面：罪犯葛见在服刑期间，能服从法院判决，认罪悔罪。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二、遵守法律法规及监规方面：罪犯葛见在服刑期间，认真遵守法律法规及监规纪律，服从管教。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四、劳动改造方面：现从事品检岗位，能积极参加劳动，按时完成劳动任务，表现好。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280000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154401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从严情形：财产性判项未履行完毕。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葛见符合提请减刑条件，但提请减刑建议幅度不当，理由是：罪犯葛见犯非法经营罪，社会危害性高，且财产性判项未履行完毕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综上所述，罪犯葛见在服刑改造期间，能认真遵守监规，接受教育改造，确有悔改表现。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葛见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