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88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罪犯覃加并，男，</w:t>
      </w:r>
      <w:r>
        <w:rPr>
          <w:rFonts w:eastAsia="仿宋_GB2312" w:ascii="仿宋_GB2312" w:hAnsi="仿宋_GB2312"/>
          <w:sz w:val="32"/>
          <w:szCs w:val="32"/>
        </w:rPr>
        <w:t>1973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日生，壮族，小学文化云南省曲靖市人，现在贵州省黔南监狱服刑。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日，贵州省都匀市人民法院作出（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197</w:t>
      </w:r>
      <w:r>
        <w:rPr>
          <w:rFonts w:ascii="仿宋_GB2312" w:hAnsi="仿宋_GB2312" w:eastAsia="仿宋_GB2312"/>
          <w:sz w:val="32"/>
          <w:szCs w:val="32"/>
        </w:rPr>
        <w:t>号刑事判决，认定覃加并犯诈骗罪，判处有期徒刑三年十个月，并处罚金人民币</w:t>
      </w:r>
      <w:r>
        <w:rPr>
          <w:rFonts w:eastAsia="仿宋_GB2312" w:ascii="仿宋_GB2312" w:hAnsi="仿宋_GB2312"/>
          <w:sz w:val="32"/>
          <w:szCs w:val="32"/>
        </w:rPr>
        <w:t>3000.00</w:t>
      </w:r>
      <w:r>
        <w:rPr>
          <w:rFonts w:ascii="仿宋_GB2312" w:hAnsi="仿宋_GB2312" w:eastAsia="仿宋_GB2312"/>
          <w:sz w:val="32"/>
          <w:szCs w:val="32"/>
        </w:rPr>
        <w:t>元，退赔被害人经济损失人民币</w:t>
      </w:r>
      <w:r>
        <w:rPr>
          <w:rFonts w:eastAsia="仿宋_GB2312" w:ascii="仿宋_GB2312" w:hAnsi="仿宋_GB2312"/>
          <w:sz w:val="32"/>
          <w:szCs w:val="32"/>
        </w:rPr>
        <w:t>79700.00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一、认罪悔罪方面：罪犯覃加并在服刑期间，能服从法院判决，认罪悔罪。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二、遵守法律法规及监规方面：罪犯覃加并在服刑期间，认真遵守法律法规及监规纪律，服从管教。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四、劳动改造方面：现从事开线岗位，能积极参加劳动，按时完成劳动任务，表现好。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79700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覃加并符合提请减刑条件，但提请减刑建议幅度不当，理由是：罪犯覃加并犯诈骗罪，诈骗数额巨大，犯罪性质严重，社会危害性高，且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综上所述，罪犯覃加并在服刑改造期间，能认真遵守监规，接受教育改造，确有悔改表现。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覃加并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